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s>
        <w:snapToGrid w:val="0"/>
        <w:spacing w:after="0"/>
        <w:jc w:val="distribute"/>
        <w:rPr>
          <w:rFonts w:ascii="Arial" w:hAnsi="Arial" w:cs="Arial"/>
          <w:b/>
          <w:sz w:val="28"/>
          <w:szCs w:val="28"/>
        </w:rPr>
      </w:pPr>
      <w:r>
        <w:rPr>
          <w:rFonts w:ascii="Arial" w:hAnsi="Arial" w:cs="Arial"/>
          <w:b/>
          <w:sz w:val="28"/>
          <w:szCs w:val="28"/>
        </w:rPr>
        <w:t>3GPP TSG RAN Meeting #94</w:t>
      </w:r>
      <w:r>
        <w:rPr>
          <w:rFonts w:ascii="Arial" w:hAnsi="Arial" w:cs="Arial" w:eastAsiaTheme="minorEastAsia"/>
          <w:b/>
          <w:sz w:val="28"/>
          <w:szCs w:val="28"/>
        </w:rPr>
        <w:t>e</w:t>
      </w:r>
      <w:r>
        <w:rPr>
          <w:rFonts w:ascii="Arial" w:hAnsi="Arial" w:eastAsia="MS Mincho" w:cs="Arial"/>
          <w:b/>
          <w:sz w:val="28"/>
          <w:szCs w:val="28"/>
        </w:rPr>
        <w:tab/>
      </w:r>
      <w:r>
        <w:rPr>
          <w:rFonts w:ascii="Arial" w:hAnsi="Arial" w:eastAsia="MS Mincho" w:cs="Arial"/>
          <w:b/>
          <w:sz w:val="28"/>
          <w:szCs w:val="28"/>
        </w:rPr>
        <w:t xml:space="preserve">           </w:t>
      </w:r>
      <w:r>
        <w:rPr>
          <w:rFonts w:ascii="Arial" w:hAnsi="Arial" w:eastAsia="MS Mincho" w:cs="Arial"/>
          <w:b/>
          <w:sz w:val="28"/>
          <w:szCs w:val="28"/>
        </w:rPr>
        <w:tab/>
      </w:r>
      <w:r>
        <w:rPr>
          <w:rFonts w:ascii="Arial" w:hAnsi="Arial" w:eastAsia="MS Mincho" w:cs="Arial"/>
          <w:b/>
          <w:sz w:val="28"/>
          <w:szCs w:val="28"/>
        </w:rPr>
        <w:t xml:space="preserve">                              </w:t>
      </w:r>
      <w:r>
        <w:rPr>
          <w:rFonts w:ascii="Arial" w:hAnsi="Arial" w:cs="Arial"/>
          <w:b/>
          <w:sz w:val="28"/>
          <w:szCs w:val="28"/>
        </w:rPr>
        <w:t>RP -213200</w:t>
      </w:r>
    </w:p>
    <w:p>
      <w:pPr>
        <w:tabs>
          <w:tab w:val="left" w:pos="567"/>
        </w:tabs>
        <w:spacing w:after="0"/>
        <w:rPr>
          <w:rFonts w:ascii="Arial" w:hAnsi="Arial" w:cs="Arial"/>
          <w:b/>
          <w:sz w:val="28"/>
          <w:szCs w:val="28"/>
        </w:rPr>
      </w:pPr>
      <w:r>
        <w:rPr>
          <w:rFonts w:ascii="Arial" w:hAnsi="Arial" w:cs="Arial"/>
          <w:b/>
          <w:sz w:val="28"/>
          <w:szCs w:val="28"/>
        </w:rPr>
        <w:t xml:space="preserve">Electronic Meeting, December 6th - December 17th, 2021       </w:t>
      </w:r>
    </w:p>
    <w:p>
      <w:pPr>
        <w:tabs>
          <w:tab w:val="left" w:pos="567"/>
        </w:tabs>
        <w:spacing w:after="0"/>
        <w:rPr>
          <w:rFonts w:ascii="Arial" w:hAnsi="Arial" w:cs="Arial"/>
          <w:b/>
          <w:sz w:val="28"/>
          <w:szCs w:val="28"/>
        </w:rPr>
      </w:pPr>
    </w:p>
    <w:p>
      <w:pPr>
        <w:tabs>
          <w:tab w:val="left" w:pos="567"/>
        </w:tabs>
        <w:rPr>
          <w:rFonts w:ascii="Arial" w:hAnsi="Arial"/>
          <w:b/>
        </w:rPr>
      </w:pPr>
      <w:r>
        <w:rPr>
          <w:rFonts w:ascii="Arial" w:hAnsi="Arial"/>
          <w:b/>
        </w:rPr>
        <w:t>Agenda Item:</w:t>
      </w:r>
      <w:r>
        <w:rPr>
          <w:rFonts w:ascii="Arial" w:hAnsi="Arial"/>
        </w:rPr>
        <w:tab/>
      </w:r>
      <w:bookmarkStart w:id="0" w:name="Source"/>
      <w:bookmarkEnd w:id="0"/>
      <w:r>
        <w:rPr>
          <w:rFonts w:ascii="Arial" w:hAnsi="Arial"/>
          <w:b/>
        </w:rPr>
        <w:t>9.3.3.4</w:t>
      </w:r>
    </w:p>
    <w:p>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ascii="Arial" w:hAnsi="Arial"/>
          <w:b/>
        </w:rPr>
        <w:t>China Unicom, Ericsson, Huawei, HiSilicon, ZTE</w:t>
      </w:r>
    </w:p>
    <w:p>
      <w:pPr>
        <w:tabs>
          <w:tab w:val="left" w:pos="567"/>
        </w:tabs>
        <w:rPr>
          <w:rFonts w:ascii="Arial" w:hAnsi="Arial"/>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bookmarkStart w:id="1" w:name="Title"/>
      <w:bookmarkEnd w:id="1"/>
      <w:r>
        <w:rPr>
          <w:rFonts w:ascii="Arial" w:hAnsi="Arial"/>
          <w:b/>
        </w:rPr>
        <w:t>Way forward on NR QoE supporting pause and resume functionality in R17</w:t>
      </w:r>
    </w:p>
    <w:p>
      <w:pPr>
        <w:tabs>
          <w:tab w:val="left" w:pos="567"/>
        </w:tabs>
        <w:rPr>
          <w:rFonts w:ascii="Arial" w:hAnsi="Arial"/>
        </w:rPr>
      </w:pPr>
      <w:r>
        <w:rPr>
          <w:rFonts w:ascii="Arial" w:hAnsi="Arial"/>
          <w:b/>
        </w:rPr>
        <w:t>WI code(s):</w:t>
      </w:r>
      <w:r>
        <w:rPr>
          <w:rFonts w:ascii="Arial" w:hAnsi="Arial"/>
          <w:b/>
        </w:rPr>
        <w:tab/>
      </w:r>
      <w:r>
        <w:rPr>
          <w:rFonts w:ascii="Arial" w:hAnsi="Arial"/>
          <w:b/>
        </w:rPr>
        <w:tab/>
      </w:r>
      <w:r>
        <w:rPr>
          <w:rFonts w:ascii="Arial" w:hAnsi="Arial"/>
          <w:b/>
        </w:rPr>
        <w:t>NR_QoE-Core</w:t>
      </w:r>
    </w:p>
    <w:p>
      <w:pPr>
        <w:tabs>
          <w:tab w:val="left" w:pos="567"/>
        </w:tabs>
        <w:rPr>
          <w:rFonts w:ascii="Arial" w:hAnsi="Arial"/>
          <w:b/>
        </w:rPr>
      </w:pPr>
      <w:r>
        <w:rPr>
          <w:rFonts w:ascii="Arial" w:hAnsi="Arial"/>
          <w:b/>
        </w:rPr>
        <w:t>Leading WG:</w:t>
      </w:r>
      <w:r>
        <w:rPr>
          <w:rFonts w:ascii="Arial" w:hAnsi="Arial"/>
          <w:b/>
        </w:rPr>
        <w:tab/>
      </w:r>
      <w:r>
        <w:rPr>
          <w:rFonts w:ascii="Arial" w:hAnsi="Arial"/>
          <w:b/>
        </w:rPr>
        <w:tab/>
      </w:r>
      <w:r>
        <w:rPr>
          <w:rFonts w:ascii="Arial" w:hAnsi="Arial"/>
          <w:b/>
        </w:rPr>
        <w:t>RAN3</w:t>
      </w:r>
    </w:p>
    <w:p>
      <w:pPr>
        <w:tabs>
          <w:tab w:val="left" w:pos="567"/>
        </w:tabs>
        <w:rPr>
          <w:rFonts w:ascii="Arial" w:hAnsi="Arial" w:eastAsiaTheme="minorEastAsia"/>
          <w:b/>
        </w:rPr>
      </w:pPr>
      <w:r>
        <w:rPr>
          <w:rFonts w:ascii="Arial" w:hAnsi="Arial"/>
          <w:b/>
        </w:rPr>
        <w:t>Release:</w:t>
      </w:r>
      <w:r>
        <w:rPr>
          <w:rFonts w:ascii="Arial" w:hAnsi="Arial"/>
          <w:b/>
        </w:rPr>
        <w:tab/>
      </w:r>
      <w:r>
        <w:rPr>
          <w:rFonts w:ascii="Arial" w:hAnsi="Arial"/>
          <w:b/>
        </w:rPr>
        <w:tab/>
      </w:r>
      <w:r>
        <w:rPr>
          <w:rFonts w:ascii="Arial" w:hAnsi="Arial"/>
          <w:b/>
        </w:rPr>
        <w:tab/>
      </w:r>
      <w:r>
        <w:rPr>
          <w:rFonts w:ascii="Arial" w:hAnsi="Arial"/>
          <w:b/>
        </w:rPr>
        <w:t>Rel-17</w:t>
      </w:r>
    </w:p>
    <w:p>
      <w:pPr>
        <w:pBdr>
          <w:bottom w:val="single" w:color="auto" w:sz="6" w:space="1"/>
        </w:pBdr>
        <w:snapToGrid w:val="0"/>
        <w:spacing w:after="240"/>
        <w:ind w:left="1800" w:hanging="1800"/>
        <w:rPr>
          <w:rFonts w:ascii="Arial" w:hAnsi="Arial"/>
          <w:b/>
        </w:rPr>
      </w:pPr>
      <w:r>
        <w:rPr>
          <w:rFonts w:ascii="Arial" w:hAnsi="Arial"/>
          <w:b/>
        </w:rPr>
        <w:t>Document for:      Discussion and decision</w:t>
      </w:r>
    </w:p>
    <w:p>
      <w:pPr>
        <w:numPr>
          <w:ilvl w:val="0"/>
          <w:numId w:val="6"/>
        </w:numPr>
        <w:tabs>
          <w:tab w:val="clear" w:pos="432"/>
        </w:tabs>
        <w:snapToGrid w:val="0"/>
        <w:spacing w:before="240" w:after="120" w:afterLines="50" w:line="240" w:lineRule="auto"/>
        <w:ind w:left="425" w:hanging="425"/>
        <w:jc w:val="both"/>
        <w:outlineLvl w:val="0"/>
        <w:rPr>
          <w:rFonts w:eastAsia="宋体"/>
          <w:b/>
          <w:sz w:val="28"/>
          <w:szCs w:val="28"/>
        </w:rPr>
      </w:pPr>
      <w:r>
        <w:rPr>
          <w:rFonts w:eastAsia="宋体"/>
          <w:b/>
          <w:sz w:val="28"/>
          <w:szCs w:val="28"/>
        </w:rPr>
        <w:t>Introduction</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 xml:space="preserve">n RAN#91e, a New WID on NR QoE management and optimizations for diverse services </w:t>
      </w:r>
      <w:r>
        <w:rPr>
          <w:rFonts w:hint="eastAsia" w:eastAsia="微软雅黑"/>
          <w:szCs w:val="20"/>
        </w:rPr>
        <w:t>[1]</w:t>
      </w:r>
      <w:r>
        <w:rPr>
          <w:rFonts w:eastAsia="微软雅黑"/>
          <w:szCs w:val="20"/>
          <w:lang w:val="en-GB"/>
        </w:rPr>
        <w:t xml:space="preserve"> (RP-201225) has been approved. The objective of pause and resume in this WID is about the following aspect:</w:t>
      </w:r>
    </w:p>
    <w:p>
      <w:pPr>
        <w:numPr>
          <w:ilvl w:val="0"/>
          <w:numId w:val="7"/>
        </w:numPr>
        <w:overflowPunct w:val="0"/>
        <w:autoSpaceDE w:val="0"/>
        <w:autoSpaceDN w:val="0"/>
        <w:adjustRightInd w:val="0"/>
        <w:spacing w:after="0" w:line="240" w:lineRule="auto"/>
        <w:jc w:val="both"/>
        <w:textAlignment w:val="baseline"/>
        <w:rPr>
          <w:bCs/>
          <w:i/>
          <w:iCs/>
        </w:rPr>
      </w:pPr>
      <w:r>
        <w:rPr>
          <w:bCs/>
          <w:i/>
          <w:iCs/>
        </w:rPr>
        <w:t xml:space="preserve">Specify the support for QoE measurement collection in NR </w:t>
      </w:r>
      <w:r>
        <w:rPr>
          <w:i/>
          <w:iCs/>
        </w:rPr>
        <w:t>standalone</w:t>
      </w:r>
      <w:r>
        <w:rPr>
          <w:bCs/>
          <w:i/>
          <w:iCs/>
        </w:rPr>
        <w:t xml:space="preserve"> mode. [RAN2, RAN3]</w:t>
      </w:r>
    </w:p>
    <w:p>
      <w:pPr>
        <w:numPr>
          <w:ilvl w:val="0"/>
          <w:numId w:val="8"/>
        </w:numPr>
        <w:overflowPunct w:val="0"/>
        <w:autoSpaceDE w:val="0"/>
        <w:autoSpaceDN w:val="0"/>
        <w:adjustRightInd w:val="0"/>
        <w:spacing w:after="0" w:line="240" w:lineRule="auto"/>
        <w:textAlignment w:val="baseline"/>
        <w:rPr>
          <w:bCs/>
          <w:i/>
          <w:iCs/>
        </w:rPr>
      </w:pPr>
      <w:r>
        <w:rPr>
          <w:bCs/>
          <w:i/>
          <w:iCs/>
        </w:rPr>
        <w:t xml:space="preserve">Specify activation and deactivation procedures for both signalling-based and management-based QoE measurement, taking </w:t>
      </w:r>
      <w:r>
        <w:rPr>
          <w:i/>
          <w:iCs/>
        </w:rPr>
        <w:t>LTE QoE solutions as baseline, as defined in the TR 38.890</w:t>
      </w:r>
      <w:r>
        <w:rPr>
          <w:bCs/>
          <w:i/>
          <w:iCs/>
        </w:rPr>
        <w:t>.</w:t>
      </w:r>
    </w:p>
    <w:p>
      <w:pPr>
        <w:numPr>
          <w:ilvl w:val="0"/>
          <w:numId w:val="8"/>
        </w:numPr>
        <w:overflowPunct w:val="0"/>
        <w:autoSpaceDE w:val="0"/>
        <w:autoSpaceDN w:val="0"/>
        <w:adjustRightInd w:val="0"/>
        <w:spacing w:after="0" w:line="240" w:lineRule="auto"/>
        <w:textAlignment w:val="baseline"/>
        <w:rPr>
          <w:bCs/>
          <w:i/>
          <w:iCs/>
        </w:rPr>
      </w:pPr>
      <w:r>
        <w:rPr>
          <w:bCs/>
          <w:i/>
          <w:iCs/>
        </w:rPr>
        <w:t xml:space="preserve">Specify </w:t>
      </w:r>
      <w:r>
        <w:rPr>
          <w:i/>
          <w:iCs/>
        </w:rPr>
        <w:t>configuration and reporting for multiple simultaneous QoE measurements at a UE.</w:t>
      </w:r>
    </w:p>
    <w:p>
      <w:pPr>
        <w:numPr>
          <w:ilvl w:val="0"/>
          <w:numId w:val="8"/>
        </w:numPr>
        <w:overflowPunct w:val="0"/>
        <w:autoSpaceDE w:val="0"/>
        <w:autoSpaceDN w:val="0"/>
        <w:adjustRightInd w:val="0"/>
        <w:spacing w:after="0" w:line="240" w:lineRule="auto"/>
        <w:textAlignment w:val="baseline"/>
        <w:rPr>
          <w:bCs/>
          <w:i/>
          <w:iCs/>
          <w:highlight w:val="yellow"/>
        </w:rPr>
      </w:pPr>
      <w:r>
        <w:rPr>
          <w:bCs/>
          <w:i/>
          <w:iCs/>
          <w:highlight w:val="yellow"/>
        </w:rPr>
        <w:t>Specify QoE measurement handling at RAN overload, including</w:t>
      </w:r>
      <w:r>
        <w:rPr>
          <w:i/>
          <w:iCs/>
          <w:highlight w:val="yellow"/>
        </w:rPr>
        <w:t xml:space="preserve"> pause and resume of QoE measurement reporting.</w:t>
      </w:r>
    </w:p>
    <w:p>
      <w:pPr>
        <w:numPr>
          <w:ilvl w:val="0"/>
          <w:numId w:val="8"/>
        </w:numPr>
        <w:overflowPunct w:val="0"/>
        <w:autoSpaceDE w:val="0"/>
        <w:autoSpaceDN w:val="0"/>
        <w:adjustRightInd w:val="0"/>
        <w:spacing w:after="0" w:line="240" w:lineRule="auto"/>
        <w:textAlignment w:val="baseline"/>
        <w:rPr>
          <w:bCs/>
          <w:i/>
          <w:iCs/>
        </w:rPr>
      </w:pPr>
      <w:r>
        <w:rPr>
          <w:bCs/>
          <w:i/>
          <w:iCs/>
        </w:rPr>
        <w:t>Specify QoE measurement handling in RRC_INACTIVE, including:</w:t>
      </w:r>
    </w:p>
    <w:p>
      <w:pPr>
        <w:numPr>
          <w:ilvl w:val="1"/>
          <w:numId w:val="8"/>
        </w:numPr>
        <w:overflowPunct w:val="0"/>
        <w:autoSpaceDE w:val="0"/>
        <w:autoSpaceDN w:val="0"/>
        <w:adjustRightInd w:val="0"/>
        <w:spacing w:after="0" w:line="240" w:lineRule="auto"/>
        <w:ind w:left="1094" w:hanging="357"/>
        <w:textAlignment w:val="baseline"/>
        <w:rPr>
          <w:bCs/>
          <w:i/>
          <w:iCs/>
        </w:rPr>
      </w:pPr>
      <w:r>
        <w:rPr>
          <w:bCs/>
          <w:i/>
          <w:iCs/>
        </w:rPr>
        <w:t>Keeping the QoE measurement configuration without measuring and reusing the same configuration upon transition from RRC_INACTIVE to RRC_CONNECTED.</w:t>
      </w:r>
    </w:p>
    <w:p>
      <w:pPr>
        <w:numPr>
          <w:ilvl w:val="1"/>
          <w:numId w:val="8"/>
        </w:numPr>
        <w:overflowPunct w:val="0"/>
        <w:autoSpaceDE w:val="0"/>
        <w:autoSpaceDN w:val="0"/>
        <w:adjustRightInd w:val="0"/>
        <w:spacing w:after="0" w:line="240" w:lineRule="auto"/>
        <w:ind w:left="1094" w:hanging="357"/>
        <w:textAlignment w:val="baseline"/>
        <w:rPr>
          <w:bCs/>
          <w:i/>
          <w:iCs/>
        </w:rPr>
      </w:pPr>
      <w:r>
        <w:rPr>
          <w:bCs/>
          <w:i/>
          <w:iCs/>
        </w:rPr>
        <w:t>Keeping the QoE measurement configuration and performing QoE measurement.</w:t>
      </w:r>
    </w:p>
    <w:p>
      <w:pPr>
        <w:numPr>
          <w:ilvl w:val="0"/>
          <w:numId w:val="8"/>
        </w:numPr>
        <w:overflowPunct w:val="0"/>
        <w:autoSpaceDE w:val="0"/>
        <w:autoSpaceDN w:val="0"/>
        <w:adjustRightInd w:val="0"/>
        <w:spacing w:after="0" w:line="240" w:lineRule="auto"/>
        <w:textAlignment w:val="baseline"/>
        <w:rPr>
          <w:bCs/>
          <w:i/>
          <w:iCs/>
        </w:rPr>
      </w:pPr>
      <w:r>
        <w:rPr>
          <w:bCs/>
          <w:i/>
          <w:iCs/>
        </w:rPr>
        <w:t>Specify the use of RRC segmentation for QoE reports.</w:t>
      </w:r>
    </w:p>
    <w:p>
      <w:pPr>
        <w:snapToGrid w:val="0"/>
        <w:spacing w:before="120" w:after="120" w:afterLines="50" w:line="300" w:lineRule="auto"/>
        <w:jc w:val="both"/>
        <w:rPr>
          <w:rFonts w:eastAsia="微软雅黑"/>
          <w:szCs w:val="20"/>
          <w:lang w:val="en-GB"/>
        </w:rPr>
      </w:pPr>
      <w:r>
        <w:rPr>
          <w:rFonts w:eastAsia="微软雅黑"/>
          <w:szCs w:val="20"/>
          <w:lang w:val="en-GB"/>
        </w:rPr>
        <w:t xml:space="preserve">RAN2 has some agreements on pause and resume, and sent the LS to SA3, SA4, SA5 for suggestions on the pause reporting storage solutions </w:t>
      </w:r>
      <w:r>
        <w:rPr>
          <w:rFonts w:hint="eastAsia" w:eastAsia="微软雅黑"/>
          <w:szCs w:val="20"/>
        </w:rPr>
        <w:t>[</w:t>
      </w:r>
      <w:r>
        <w:rPr>
          <w:rFonts w:eastAsia="微软雅黑"/>
          <w:szCs w:val="20"/>
        </w:rPr>
        <w:t>2</w:t>
      </w:r>
      <w:r>
        <w:rPr>
          <w:rFonts w:hint="eastAsia" w:eastAsia="微软雅黑"/>
          <w:szCs w:val="20"/>
        </w:rPr>
        <w:t>]</w:t>
      </w:r>
      <w:r>
        <w:rPr>
          <w:rFonts w:eastAsia="微软雅黑"/>
          <w:szCs w:val="20"/>
          <w:lang w:val="en-GB"/>
        </w:rPr>
        <w:t>. SA4 reply the LS to RAN2 with some questions [3], and RAN2 decide to postpone the reply due to no convergence.</w:t>
      </w:r>
      <w:r>
        <w:rPr>
          <w:rFonts w:hint="eastAsia" w:eastAsia="微软雅黑"/>
          <w:szCs w:val="20"/>
          <w:lang w:val="en-GB"/>
        </w:rPr>
        <w:t xml:space="preserve"> </w:t>
      </w:r>
      <w:r>
        <w:rPr>
          <w:rFonts w:hint="eastAsia" w:eastAsia="微软雅黑"/>
          <w:szCs w:val="20"/>
        </w:rPr>
        <w:t xml:space="preserve">Unfortunately, there is no further progress in </w:t>
      </w:r>
      <w:r>
        <w:rPr>
          <w:rFonts w:eastAsia="微软雅黑"/>
          <w:szCs w:val="20"/>
          <w:lang w:val="en-GB"/>
        </w:rPr>
        <w:t xml:space="preserve">RAN2#116-e </w:t>
      </w:r>
      <w:r>
        <w:rPr>
          <w:rFonts w:hint="eastAsia" w:eastAsia="微软雅黑"/>
          <w:szCs w:val="20"/>
        </w:rPr>
        <w:t xml:space="preserve">meeting, and </w:t>
      </w:r>
      <w:r>
        <w:rPr>
          <w:rFonts w:eastAsia="微软雅黑"/>
          <w:szCs w:val="20"/>
          <w:lang w:val="en-GB"/>
        </w:rPr>
        <w:t xml:space="preserve">the following is </w:t>
      </w:r>
      <w:r>
        <w:rPr>
          <w:rFonts w:hint="eastAsia" w:eastAsia="微软雅黑"/>
          <w:szCs w:val="20"/>
        </w:rPr>
        <w:t>capture in the chairman notes.</w:t>
      </w:r>
    </w:p>
    <w:p>
      <w:pPr>
        <w:pStyle w:val="112"/>
      </w:pPr>
      <w:r>
        <w:t xml:space="preserve">Postpone this reply LS. Discuss at RP whether to have the pause resume in Rel-17. </w:t>
      </w:r>
    </w:p>
    <w:p>
      <w:pPr>
        <w:snapToGrid w:val="0"/>
        <w:spacing w:before="120" w:after="120" w:afterLines="50" w:line="300" w:lineRule="auto"/>
        <w:jc w:val="both"/>
        <w:rPr>
          <w:rFonts w:eastAsia="微软雅黑"/>
          <w:szCs w:val="20"/>
          <w:lang w:val="en-GB"/>
        </w:rPr>
      </w:pPr>
      <w:r>
        <w:rPr>
          <w:rFonts w:eastAsia="微软雅黑"/>
          <w:szCs w:val="20"/>
          <w:lang w:val="en-GB"/>
        </w:rPr>
        <w:t xml:space="preserve">RAN overload </w:t>
      </w:r>
      <w:r>
        <w:rPr>
          <w:bCs/>
          <w:iCs/>
        </w:rPr>
        <w:t>including</w:t>
      </w:r>
      <w:r>
        <w:rPr>
          <w:iCs/>
        </w:rPr>
        <w:t xml:space="preserve"> pause and resume of QoE measurement reporting</w:t>
      </w:r>
      <w:r>
        <w:rPr>
          <w:rFonts w:hint="eastAsia" w:eastAsia="微软雅黑"/>
          <w:szCs w:val="20"/>
        </w:rPr>
        <w:t xml:space="preserve"> </w:t>
      </w:r>
      <w:r>
        <w:rPr>
          <w:rFonts w:eastAsia="微软雅黑"/>
          <w:szCs w:val="20"/>
          <w:lang w:val="en-GB"/>
        </w:rPr>
        <w:t xml:space="preserve"> </w:t>
      </w:r>
      <w:r>
        <w:rPr>
          <w:rFonts w:eastAsia="微软雅黑"/>
          <w:szCs w:val="20"/>
        </w:rPr>
        <w:t>is</w:t>
      </w:r>
      <w:r>
        <w:rPr>
          <w:rFonts w:eastAsia="微软雅黑"/>
          <w:szCs w:val="20"/>
          <w:lang w:val="en-GB"/>
        </w:rPr>
        <w:t xml:space="preserve"> </w:t>
      </w:r>
      <w:r>
        <w:rPr>
          <w:rFonts w:hint="eastAsia" w:eastAsia="微软雅黑"/>
          <w:szCs w:val="20"/>
        </w:rPr>
        <w:t xml:space="preserve">approved in </w:t>
      </w:r>
      <w:r>
        <w:rPr>
          <w:rFonts w:eastAsia="微软雅黑"/>
          <w:szCs w:val="20"/>
          <w:lang w:val="en-GB"/>
        </w:rPr>
        <w:t xml:space="preserve">RAN </w:t>
      </w:r>
      <w:r>
        <w:rPr>
          <w:rFonts w:hint="eastAsia" w:eastAsia="微软雅黑"/>
          <w:szCs w:val="20"/>
        </w:rPr>
        <w:t>plenary</w:t>
      </w:r>
      <w:r>
        <w:rPr>
          <w:rFonts w:eastAsia="微软雅黑"/>
          <w:szCs w:val="20"/>
          <w:lang w:val="en-GB"/>
        </w:rPr>
        <w:t xml:space="preserve">. </w:t>
      </w:r>
      <w:r>
        <w:rPr>
          <w:rFonts w:eastAsia="微软雅黑"/>
          <w:szCs w:val="20"/>
        </w:rPr>
        <w:t>C</w:t>
      </w:r>
      <w:r>
        <w:rPr>
          <w:rFonts w:hint="eastAsia" w:eastAsia="微软雅黑"/>
          <w:szCs w:val="20"/>
        </w:rPr>
        <w:t xml:space="preserve">onsidering RAN2 </w:t>
      </w:r>
      <w:r>
        <w:rPr>
          <w:rFonts w:eastAsia="微软雅黑"/>
          <w:szCs w:val="20"/>
        </w:rPr>
        <w:t>and</w:t>
      </w:r>
      <w:r>
        <w:rPr>
          <w:rFonts w:hint="eastAsia" w:eastAsia="微软雅黑"/>
          <w:szCs w:val="20"/>
        </w:rPr>
        <w:t xml:space="preserve"> other WGs </w:t>
      </w:r>
      <w:r>
        <w:rPr>
          <w:rFonts w:eastAsia="微软雅黑"/>
          <w:szCs w:val="20"/>
        </w:rPr>
        <w:t>are</w:t>
      </w:r>
      <w:r>
        <w:rPr>
          <w:rFonts w:hint="eastAsia" w:eastAsia="微软雅黑"/>
          <w:szCs w:val="20"/>
        </w:rPr>
        <w:t xml:space="preserve"> not very clear to support it or not, </w:t>
      </w:r>
      <w:r>
        <w:rPr>
          <w:rFonts w:eastAsia="微软雅黑"/>
          <w:szCs w:val="20"/>
          <w:lang w:val="en-GB"/>
        </w:rPr>
        <w:t xml:space="preserve">it’s </w:t>
      </w:r>
      <w:r>
        <w:rPr>
          <w:rFonts w:hint="eastAsia" w:eastAsia="微软雅黑"/>
          <w:szCs w:val="20"/>
        </w:rPr>
        <w:t xml:space="preserve">important to make the decision at RAN plenary on how </w:t>
      </w:r>
      <w:r>
        <w:rPr>
          <w:rFonts w:eastAsia="微软雅黑"/>
          <w:szCs w:val="20"/>
          <w:lang w:val="en-GB"/>
        </w:rPr>
        <w:t xml:space="preserve">to </w:t>
      </w:r>
      <w:r>
        <w:rPr>
          <w:rFonts w:hint="eastAsia" w:eastAsia="微软雅黑"/>
          <w:szCs w:val="20"/>
        </w:rPr>
        <w:t xml:space="preserve">move </w:t>
      </w:r>
      <w:r>
        <w:rPr>
          <w:rFonts w:eastAsia="微软雅黑"/>
          <w:szCs w:val="20"/>
          <w:lang w:val="en-GB"/>
        </w:rPr>
        <w:t>forward on</w:t>
      </w:r>
      <w:r>
        <w:rPr>
          <w:rFonts w:hint="eastAsia" w:eastAsia="微软雅黑"/>
          <w:szCs w:val="20"/>
        </w:rPr>
        <w:t xml:space="preserve"> supporting</w:t>
      </w:r>
      <w:r>
        <w:rPr>
          <w:rFonts w:eastAsia="微软雅黑"/>
          <w:szCs w:val="20"/>
          <w:lang w:val="en-GB"/>
        </w:rPr>
        <w:t xml:space="preserve"> NR QoE pause and resume</w:t>
      </w:r>
      <w:r>
        <w:rPr>
          <w:rFonts w:hint="eastAsia" w:eastAsia="微软雅黑"/>
          <w:szCs w:val="20"/>
          <w:lang w:val="en-GB"/>
        </w:rPr>
        <w:t xml:space="preserve"> </w:t>
      </w:r>
      <w:r>
        <w:rPr>
          <w:rFonts w:hint="eastAsia" w:eastAsia="微软雅黑"/>
          <w:szCs w:val="20"/>
        </w:rPr>
        <w:t>functionality</w:t>
      </w:r>
      <w:r>
        <w:rPr>
          <w:rFonts w:eastAsia="微软雅黑"/>
          <w:szCs w:val="20"/>
          <w:lang w:val="en-GB"/>
        </w:rPr>
        <w:t xml:space="preserve"> </w:t>
      </w:r>
      <w:r>
        <w:rPr>
          <w:rFonts w:hint="eastAsia" w:eastAsia="微软雅黑"/>
          <w:szCs w:val="20"/>
        </w:rPr>
        <w:t>in RAN2 as well as coordinate with other WGs</w:t>
      </w:r>
      <w:r>
        <w:rPr>
          <w:rFonts w:eastAsia="微软雅黑"/>
          <w:szCs w:val="20"/>
          <w:lang w:val="en-GB"/>
        </w:rPr>
        <w:t xml:space="preserve"> in Rel-17.</w:t>
      </w:r>
    </w:p>
    <w:p>
      <w:pPr>
        <w:keepNext/>
        <w:widowControl w:val="0"/>
        <w:numPr>
          <w:ilvl w:val="0"/>
          <w:numId w:val="6"/>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WF on pause and resume mechanism</w:t>
      </w:r>
    </w:p>
    <w:p>
      <w:pPr>
        <w:numPr>
          <w:ilvl w:val="1"/>
          <w:numId w:val="6"/>
        </w:numPr>
        <w:snapToGrid w:val="0"/>
        <w:spacing w:before="240" w:after="120" w:afterLines="50" w:line="240" w:lineRule="auto"/>
        <w:jc w:val="both"/>
        <w:outlineLvl w:val="1"/>
        <w:rPr>
          <w:rFonts w:eastAsia="宋体"/>
          <w:b/>
          <w:bCs/>
          <w:sz w:val="24"/>
          <w:szCs w:val="24"/>
        </w:rPr>
      </w:pPr>
      <w:r>
        <w:rPr>
          <w:rFonts w:hint="eastAsia" w:eastAsia="宋体"/>
          <w:b/>
          <w:bCs/>
          <w:sz w:val="24"/>
          <w:szCs w:val="24"/>
        </w:rPr>
        <w:t>B</w:t>
      </w:r>
      <w:r>
        <w:rPr>
          <w:rFonts w:eastAsia="宋体"/>
          <w:b/>
          <w:bCs/>
          <w:sz w:val="24"/>
          <w:szCs w:val="24"/>
        </w:rPr>
        <w:t>ackground</w:t>
      </w:r>
    </w:p>
    <w:p>
      <w:pPr>
        <w:snapToGrid w:val="0"/>
        <w:spacing w:before="120" w:after="120" w:afterLines="50" w:line="300" w:lineRule="auto"/>
        <w:jc w:val="both"/>
        <w:rPr>
          <w:rFonts w:eastAsia="微软雅黑"/>
          <w:szCs w:val="20"/>
        </w:rPr>
      </w:pPr>
      <w:r>
        <w:rPr>
          <w:rFonts w:hint="eastAsia" w:eastAsia="微软雅黑"/>
          <w:szCs w:val="20"/>
        </w:rPr>
        <w:t xml:space="preserve">When the R17 </w:t>
      </w:r>
      <w:r>
        <w:rPr>
          <w:rFonts w:eastAsia="微软雅黑"/>
          <w:szCs w:val="20"/>
          <w:lang w:val="en-GB"/>
        </w:rPr>
        <w:t>NR QoE SI</w:t>
      </w:r>
      <w:r>
        <w:rPr>
          <w:rFonts w:hint="eastAsia" w:eastAsia="微软雅黑"/>
          <w:szCs w:val="20"/>
        </w:rPr>
        <w:t xml:space="preserve"> is closed</w:t>
      </w:r>
      <w:r>
        <w:rPr>
          <w:rFonts w:eastAsia="微软雅黑"/>
          <w:szCs w:val="20"/>
          <w:lang w:val="en-GB"/>
        </w:rPr>
        <w:t xml:space="preserve">, </w:t>
      </w:r>
      <w:r>
        <w:rPr>
          <w:rFonts w:hint="eastAsia" w:eastAsia="微软雅黑"/>
          <w:szCs w:val="20"/>
        </w:rPr>
        <w:t xml:space="preserve">both </w:t>
      </w:r>
      <w:r>
        <w:rPr>
          <w:rFonts w:eastAsia="微软雅黑"/>
          <w:szCs w:val="20"/>
          <w:lang w:val="en-GB"/>
        </w:rPr>
        <w:t>pause and resume mechanism are agree to</w:t>
      </w:r>
      <w:r>
        <w:rPr>
          <w:rFonts w:hint="eastAsia" w:eastAsia="微软雅黑"/>
          <w:szCs w:val="20"/>
        </w:rPr>
        <w:t xml:space="preserve"> support </w:t>
      </w:r>
      <w:r>
        <w:rPr>
          <w:rFonts w:eastAsia="微软雅黑"/>
          <w:szCs w:val="20"/>
          <w:lang w:val="en-GB"/>
        </w:rPr>
        <w:t xml:space="preserve">in TR 38.890 </w:t>
      </w:r>
      <w:r>
        <w:rPr>
          <w:rFonts w:hint="eastAsia" w:eastAsia="微软雅黑"/>
          <w:szCs w:val="20"/>
        </w:rPr>
        <w:t>[</w:t>
      </w:r>
      <w:r>
        <w:rPr>
          <w:rFonts w:eastAsia="微软雅黑"/>
          <w:szCs w:val="20"/>
        </w:rPr>
        <w:t>4</w:t>
      </w:r>
      <w:r>
        <w:rPr>
          <w:rFonts w:hint="eastAsia" w:eastAsia="微软雅黑"/>
          <w:szCs w:val="20"/>
        </w:rPr>
        <w:t>]</w:t>
      </w:r>
      <w:r>
        <w:rPr>
          <w:rFonts w:eastAsia="微软雅黑"/>
          <w:szCs w:val="20"/>
          <w:lang w:val="en-GB"/>
        </w:rPr>
        <w:t xml:space="preserve"> to </w:t>
      </w:r>
      <w:r>
        <w:rPr>
          <w:rFonts w:hint="eastAsia" w:eastAsia="微软雅黑"/>
          <w:szCs w:val="20"/>
        </w:rPr>
        <w:t xml:space="preserve">provide the solution for </w:t>
      </w:r>
      <w:r>
        <w:rPr>
          <w:rFonts w:eastAsia="微软雅黑"/>
          <w:szCs w:val="20"/>
          <w:lang w:val="en-GB"/>
        </w:rPr>
        <w:t>RAN overload</w:t>
      </w:r>
      <w:r>
        <w:rPr>
          <w:rFonts w:hint="eastAsia" w:eastAsia="微软雅黑"/>
          <w:szCs w:val="20"/>
        </w:rPr>
        <w:t xml:space="preserve"> scenario. </w:t>
      </w:r>
      <w:r>
        <w:rPr>
          <w:rFonts w:eastAsia="微软雅黑"/>
          <w:bCs/>
          <w:szCs w:val="20"/>
        </w:rPr>
        <w:t xml:space="preserve">It is clearly captured in the TR 38.890 to support the potential solutions for </w:t>
      </w:r>
      <w:r>
        <w:rPr>
          <w:rFonts w:eastAsia="微软雅黑"/>
          <w:bCs/>
          <w:szCs w:val="20"/>
          <w:lang w:val="en-GB"/>
        </w:rPr>
        <w:t>pause</w:t>
      </w:r>
      <w:r>
        <w:rPr>
          <w:rFonts w:eastAsia="微软雅黑"/>
          <w:bCs/>
          <w:szCs w:val="20"/>
        </w:rPr>
        <w:t>/</w:t>
      </w:r>
      <w:r>
        <w:rPr>
          <w:rFonts w:eastAsia="微软雅黑"/>
          <w:bCs/>
          <w:szCs w:val="20"/>
          <w:lang w:val="en-GB"/>
        </w:rPr>
        <w:t>resume</w:t>
      </w:r>
      <w:r>
        <w:rPr>
          <w:rFonts w:eastAsia="微软雅黑"/>
          <w:bCs/>
          <w:szCs w:val="20"/>
        </w:rPr>
        <w:t xml:space="preserve"> functionality in details technical specification of the procedures, e.g. </w:t>
      </w:r>
      <w:r>
        <w:rPr>
          <w:bCs/>
          <w:iCs/>
        </w:rPr>
        <w:t>pause/resume for all QoE reports or pause/resume per QoE configuration, how long can the UE store the reports, limit for stored reports size etc</w:t>
      </w:r>
      <w:r>
        <w:rPr>
          <w:rFonts w:hint="eastAsia" w:eastAsia="微软雅黑"/>
          <w:szCs w:val="20"/>
        </w:rPr>
        <w:t>.</w:t>
      </w:r>
    </w:p>
    <w:p>
      <w:pPr>
        <w:rPr>
          <w:i/>
        </w:rPr>
      </w:pPr>
      <w:r>
        <w:rPr>
          <w:i/>
        </w:rPr>
        <w:t xml:space="preserve">“In case of RAN overload in standalone connectivity, RAN can stop new QoE measurement configurations, release existing QoE measurement configurations and pause QoE measurement reporting. </w:t>
      </w:r>
      <w:r>
        <w:rPr>
          <w:i/>
          <w:highlight w:val="yellow"/>
        </w:rPr>
        <w:t>RRC signaling is used by the gNB to indicate the UE to pause or resume the QoE reporting</w:t>
      </w:r>
      <w:r>
        <w:rPr>
          <w:i/>
        </w:rPr>
        <w:t>. Potential solutions of pause/resume mechanism need detailed technical specification of the procedures, e.g. pause/resume for all QoE reports or pause/resume per QoE configuration, how long can the UE store the reports, limit for stored reports size etc.”</w:t>
      </w:r>
    </w:p>
    <w:p>
      <w:pPr>
        <w:snapToGrid w:val="0"/>
        <w:spacing w:before="120" w:beforeLines="50" w:after="60" w:afterLines="25" w:line="300" w:lineRule="auto"/>
        <w:jc w:val="both"/>
        <w:rPr>
          <w:rFonts w:eastAsia="宋体"/>
          <w:b/>
          <w:bCs/>
          <w:iCs/>
        </w:rPr>
      </w:pPr>
      <w:r>
        <w:rPr>
          <w:rFonts w:eastAsia="宋体"/>
          <w:b/>
          <w:bCs/>
          <w:iCs/>
        </w:rPr>
        <w:t xml:space="preserve">Observation 1: Pause and resume mechanism is </w:t>
      </w:r>
      <w:r>
        <w:rPr>
          <w:rFonts w:hint="eastAsia" w:eastAsia="宋体"/>
          <w:b/>
          <w:bCs/>
          <w:iCs/>
        </w:rPr>
        <w:t>approved as one of the</w:t>
      </w:r>
      <w:r>
        <w:rPr>
          <w:rFonts w:eastAsia="宋体"/>
          <w:b/>
          <w:bCs/>
          <w:iCs/>
        </w:rPr>
        <w:t xml:space="preserve"> objective</w:t>
      </w:r>
      <w:r>
        <w:rPr>
          <w:rFonts w:hint="eastAsia" w:eastAsia="宋体"/>
          <w:b/>
          <w:bCs/>
          <w:iCs/>
        </w:rPr>
        <w:t>s</w:t>
      </w:r>
      <w:r>
        <w:rPr>
          <w:rFonts w:eastAsia="宋体"/>
          <w:b/>
          <w:bCs/>
          <w:iCs/>
        </w:rPr>
        <w:t xml:space="preserve"> </w:t>
      </w:r>
      <w:r>
        <w:rPr>
          <w:rFonts w:hint="eastAsia" w:eastAsia="宋体"/>
          <w:b/>
          <w:bCs/>
          <w:iCs/>
        </w:rPr>
        <w:t>of</w:t>
      </w:r>
      <w:r>
        <w:rPr>
          <w:rFonts w:eastAsia="宋体"/>
          <w:b/>
          <w:bCs/>
          <w:iCs/>
        </w:rPr>
        <w:t xml:space="preserve"> R17 NR QoE WID</w:t>
      </w:r>
      <w:r>
        <w:rPr>
          <w:rFonts w:hint="eastAsia" w:eastAsia="宋体"/>
          <w:b/>
          <w:bCs/>
          <w:iCs/>
        </w:rPr>
        <w:t>. The potential solutions and detailed technical specification of the procedures are captured in the technical report</w:t>
      </w:r>
      <w:r>
        <w:rPr>
          <w:rFonts w:eastAsia="宋体"/>
          <w:b/>
          <w:bCs/>
          <w:iCs/>
        </w:rPr>
        <w:t xml:space="preserve"> TR 38.890 </w:t>
      </w:r>
      <w:r>
        <w:rPr>
          <w:rFonts w:hint="eastAsia" w:eastAsia="宋体"/>
          <w:b/>
          <w:bCs/>
          <w:iCs/>
        </w:rPr>
        <w:t xml:space="preserve">of </w:t>
      </w:r>
      <w:r>
        <w:rPr>
          <w:rFonts w:eastAsia="宋体"/>
          <w:b/>
          <w:bCs/>
          <w:iCs/>
        </w:rPr>
        <w:t xml:space="preserve">R17 NR QoE </w:t>
      </w:r>
      <w:r>
        <w:rPr>
          <w:rFonts w:hint="eastAsia" w:eastAsia="宋体"/>
          <w:b/>
          <w:bCs/>
          <w:iCs/>
        </w:rPr>
        <w:t>S</w:t>
      </w:r>
      <w:r>
        <w:rPr>
          <w:rFonts w:eastAsia="宋体"/>
          <w:b/>
          <w:bCs/>
          <w:iCs/>
        </w:rPr>
        <w:t>ID</w:t>
      </w:r>
      <w:r>
        <w:rPr>
          <w:rFonts w:hint="eastAsia" w:eastAsia="宋体"/>
          <w:b/>
          <w:bCs/>
          <w:iCs/>
        </w:rPr>
        <w:t>.</w:t>
      </w:r>
    </w:p>
    <w:p>
      <w:pPr>
        <w:snapToGrid w:val="0"/>
        <w:spacing w:before="120" w:after="120" w:afterLines="50" w:line="300" w:lineRule="auto"/>
        <w:jc w:val="both"/>
        <w:rPr>
          <w:rFonts w:eastAsia="微软雅黑"/>
          <w:szCs w:val="20"/>
        </w:rPr>
      </w:pPr>
    </w:p>
    <w:p>
      <w:pPr>
        <w:snapToGrid w:val="0"/>
        <w:spacing w:before="120" w:after="120" w:afterLines="50" w:line="300" w:lineRule="auto"/>
        <w:jc w:val="both"/>
        <w:rPr>
          <w:rFonts w:eastAsia="微软雅黑"/>
          <w:szCs w:val="20"/>
        </w:rPr>
      </w:pPr>
      <w:r>
        <w:rPr>
          <w:rFonts w:hint="eastAsia" w:eastAsia="微软雅黑"/>
          <w:szCs w:val="20"/>
        </w:rPr>
        <w:t xml:space="preserve">From Rel-16, </w:t>
      </w:r>
      <w:r>
        <w:rPr>
          <w:rFonts w:eastAsia="微软雅黑"/>
          <w:szCs w:val="20"/>
          <w:lang w:val="en-GB"/>
        </w:rPr>
        <w:t>SA5</w:t>
      </w:r>
      <w:r>
        <w:rPr>
          <w:rFonts w:hint="eastAsia" w:eastAsia="微软雅黑"/>
          <w:szCs w:val="20"/>
        </w:rPr>
        <w:t xml:space="preserve"> has defined the </w:t>
      </w:r>
      <w:r>
        <w:rPr>
          <w:rFonts w:eastAsia="微软雅黑"/>
          <w:szCs w:val="20"/>
          <w:lang w:val="en-GB"/>
        </w:rPr>
        <w:t>RAN overload</w:t>
      </w:r>
      <w:r>
        <w:rPr>
          <w:rFonts w:hint="eastAsia" w:eastAsia="微软雅黑"/>
          <w:szCs w:val="20"/>
        </w:rPr>
        <w:t xml:space="preserve"> as one of the </w:t>
      </w:r>
      <w:r>
        <w:rPr>
          <w:rFonts w:eastAsia="微软雅黑"/>
          <w:szCs w:val="20"/>
          <w:lang w:val="en-GB"/>
        </w:rPr>
        <w:t>High-level</w:t>
      </w:r>
      <w:r>
        <w:rPr>
          <w:rFonts w:hint="eastAsia" w:eastAsia="微软雅黑"/>
          <w:szCs w:val="20"/>
        </w:rPr>
        <w:t xml:space="preserve"> use cases for QoE in </w:t>
      </w:r>
      <w:r>
        <w:rPr>
          <w:rFonts w:eastAsia="微软雅黑"/>
          <w:szCs w:val="20"/>
          <w:lang w:val="en-GB"/>
        </w:rPr>
        <w:t xml:space="preserve">TS 28.404 [5]. At RAN overload RAN may stop or delay the QoE information reporting from the UEs that has started </w:t>
      </w:r>
      <w:r>
        <w:t>the QoE information collection</w:t>
      </w:r>
      <w:r>
        <w:rPr>
          <w:rFonts w:eastAsia="微软雅黑"/>
          <w:szCs w:val="20"/>
          <w:lang w:val="en-GB"/>
        </w:rPr>
        <w:t>. The</w:t>
      </w:r>
      <w:r>
        <w:rPr>
          <w:rFonts w:hint="eastAsia" w:eastAsia="微软雅黑"/>
          <w:szCs w:val="20"/>
        </w:rPr>
        <w:t xml:space="preserve"> overload use case is shown in</w:t>
      </w:r>
      <w:r>
        <w:rPr>
          <w:rFonts w:eastAsia="微软雅黑"/>
          <w:szCs w:val="20"/>
          <w:lang w:val="en-GB"/>
        </w:rPr>
        <w:t xml:space="preserve"> following table. </w:t>
      </w:r>
      <w:r>
        <w:rPr>
          <w:rFonts w:hint="eastAsia" w:eastAsia="微软雅黑"/>
          <w:szCs w:val="20"/>
        </w:rPr>
        <w:t>From</w:t>
      </w:r>
      <w:r>
        <w:rPr>
          <w:rFonts w:eastAsia="微软雅黑"/>
          <w:szCs w:val="20"/>
          <w:lang w:val="en-GB"/>
        </w:rPr>
        <w:t xml:space="preserve"> </w:t>
      </w:r>
      <w:r>
        <w:rPr>
          <w:rFonts w:hint="eastAsia" w:eastAsia="微软雅黑"/>
          <w:szCs w:val="20"/>
        </w:rPr>
        <w:t>S</w:t>
      </w:r>
      <w:r>
        <w:rPr>
          <w:rFonts w:eastAsia="微软雅黑"/>
          <w:szCs w:val="20"/>
          <w:lang w:val="en-GB"/>
        </w:rPr>
        <w:t xml:space="preserve">tep 1 </w:t>
      </w:r>
      <w:r>
        <w:rPr>
          <w:rFonts w:hint="eastAsia" w:eastAsia="微软雅黑"/>
          <w:szCs w:val="20"/>
        </w:rPr>
        <w:t>to S</w:t>
      </w:r>
      <w:r>
        <w:rPr>
          <w:rFonts w:eastAsia="微软雅黑"/>
          <w:szCs w:val="20"/>
          <w:lang w:val="en-GB"/>
        </w:rPr>
        <w:t xml:space="preserve">tep </w:t>
      </w:r>
      <w:r>
        <w:rPr>
          <w:rFonts w:hint="eastAsia" w:eastAsia="微软雅黑"/>
          <w:szCs w:val="20"/>
        </w:rPr>
        <w:t>4</w:t>
      </w:r>
      <w:r>
        <w:rPr>
          <w:rFonts w:eastAsia="微软雅黑"/>
          <w:szCs w:val="20"/>
          <w:lang w:val="en-GB"/>
        </w:rPr>
        <w:t>, it is clearly described the RAN behaviour for RAN overload, and</w:t>
      </w:r>
      <w:r>
        <w:rPr>
          <w:rFonts w:hint="eastAsia" w:eastAsia="微软雅黑"/>
          <w:szCs w:val="20"/>
        </w:rPr>
        <w:t xml:space="preserve"> </w:t>
      </w:r>
      <w:r>
        <w:rPr>
          <w:rFonts w:eastAsia="微软雅黑"/>
          <w:szCs w:val="20"/>
          <w:lang w:val="en-GB"/>
        </w:rPr>
        <w:t>the RAN specification</w:t>
      </w:r>
      <w:r>
        <w:rPr>
          <w:rFonts w:hint="eastAsia" w:eastAsia="微软雅黑"/>
          <w:szCs w:val="20"/>
        </w:rPr>
        <w:t xml:space="preserve">s should </w:t>
      </w:r>
      <w:r>
        <w:rPr>
          <w:rFonts w:eastAsia="微软雅黑"/>
          <w:szCs w:val="20"/>
          <w:lang w:val="en-GB"/>
        </w:rPr>
        <w:t xml:space="preserve">be specified </w:t>
      </w:r>
      <w:r>
        <w:rPr>
          <w:rFonts w:hint="eastAsia" w:eastAsia="微软雅黑"/>
          <w:szCs w:val="20"/>
        </w:rPr>
        <w:t>for RAN overload</w:t>
      </w:r>
      <w:r>
        <w:rPr>
          <w:rFonts w:eastAsia="微软雅黑"/>
          <w:szCs w:val="20"/>
          <w:lang w:val="en-GB"/>
        </w:rPr>
        <w:t>.</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6606"/>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46" w:type="pct"/>
            <w:tcBorders>
              <w:top w:val="single" w:color="auto" w:sz="4" w:space="0"/>
              <w:left w:val="single" w:color="auto" w:sz="4" w:space="0"/>
              <w:bottom w:val="single" w:color="auto" w:sz="4" w:space="0"/>
              <w:right w:val="single" w:color="auto" w:sz="4" w:space="0"/>
            </w:tcBorders>
            <w:vAlign w:val="center"/>
          </w:tcPr>
          <w:p>
            <w:pPr>
              <w:pStyle w:val="113"/>
              <w:rPr>
                <w:sz w:val="20"/>
                <w:lang w:bidi="ar-KW"/>
              </w:rPr>
            </w:pPr>
            <w:r>
              <w:rPr>
                <w:sz w:val="20"/>
                <w:lang w:bidi="ar-KW"/>
              </w:rPr>
              <w:t>Use case stage</w:t>
            </w:r>
          </w:p>
        </w:tc>
        <w:tc>
          <w:tcPr>
            <w:tcW w:w="3449" w:type="pct"/>
            <w:tcBorders>
              <w:top w:val="single" w:color="auto" w:sz="4" w:space="0"/>
              <w:left w:val="single" w:color="auto" w:sz="4" w:space="0"/>
              <w:bottom w:val="single" w:color="auto" w:sz="4" w:space="0"/>
              <w:right w:val="single" w:color="auto" w:sz="4" w:space="0"/>
            </w:tcBorders>
            <w:vAlign w:val="center"/>
          </w:tcPr>
          <w:p>
            <w:pPr>
              <w:pStyle w:val="113"/>
              <w:rPr>
                <w:sz w:val="20"/>
                <w:lang w:bidi="ar-KW"/>
              </w:rPr>
            </w:pPr>
            <w:r>
              <w:rPr>
                <w:sz w:val="20"/>
                <w:lang w:bidi="ar-KW"/>
              </w:rPr>
              <w:t>Evolution/Specification</w:t>
            </w:r>
          </w:p>
        </w:tc>
        <w:tc>
          <w:tcPr>
            <w:tcW w:w="705" w:type="pct"/>
            <w:tcBorders>
              <w:top w:val="single" w:color="auto" w:sz="4" w:space="0"/>
              <w:left w:val="single" w:color="auto" w:sz="4" w:space="0"/>
              <w:bottom w:val="single" w:color="auto" w:sz="4" w:space="0"/>
              <w:right w:val="single" w:color="auto" w:sz="4" w:space="0"/>
            </w:tcBorders>
            <w:vAlign w:val="center"/>
          </w:tcPr>
          <w:p>
            <w:pPr>
              <w:pStyle w:val="113"/>
              <w:rPr>
                <w:sz w:val="20"/>
                <w:lang w:bidi="ar-KW"/>
              </w:rPr>
            </w:pPr>
            <w:r>
              <w:rPr>
                <w:sz w:val="20"/>
                <w:lang w:bidi="ar-KW"/>
              </w:rPr>
              <w:t>&lt;&lt;Uses&gt;&gt;</w:t>
            </w:r>
            <w:r>
              <w:rPr>
                <w:sz w:val="20"/>
                <w:lang w:bidi="ar-KW"/>
              </w:rPr>
              <w:br w:type="textWrapping"/>
            </w:r>
            <w:r>
              <w:rPr>
                <w:sz w:val="20"/>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Goal</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At RAN overload RAN may stop or delay the QoE information reporting from the UEs that has started it.</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Actors and roles</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The RAN node which is the requester of delaying the QoE information reporting.</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Telecom resources</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The RAN node and the UE.</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Assumptions</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Pre-conditions</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Selected UEs have started QoE information collection.</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 xml:space="preserve">Begins when </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The RAN node detects that it is overloaded.</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highlight w:val="none"/>
              </w:rPr>
            </w:pPr>
            <w:r>
              <w:rPr>
                <w:sz w:val="20"/>
                <w:highlight w:val="none"/>
              </w:rPr>
              <w:t>Step 1 (M)</w:t>
            </w:r>
          </w:p>
        </w:tc>
        <w:tc>
          <w:tcPr>
            <w:tcW w:w="3449" w:type="pct"/>
            <w:tcBorders>
              <w:top w:val="single" w:color="auto" w:sz="4" w:space="0"/>
              <w:left w:val="single" w:color="auto" w:sz="4" w:space="0"/>
              <w:bottom w:val="single" w:color="auto" w:sz="4" w:space="0"/>
              <w:right w:val="single" w:color="auto" w:sz="4" w:space="0"/>
            </w:tcBorders>
          </w:tcPr>
          <w:p>
            <w:pPr>
              <w:pStyle w:val="114"/>
              <w:rPr>
                <w:sz w:val="20"/>
                <w:highlight w:val="none"/>
              </w:rPr>
            </w:pPr>
            <w:r>
              <w:rPr>
                <w:sz w:val="20"/>
                <w:highlight w:val="none"/>
              </w:rPr>
              <w:t>The RAN node sends a request to temporarily stop the reporting to the UEs that has started the QoE information collection. An indication about the temporary stop is sent to the management system.</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highlight w:val="none"/>
              </w:rPr>
            </w:pPr>
            <w:r>
              <w:rPr>
                <w:sz w:val="20"/>
                <w:highlight w:val="none"/>
              </w:rPr>
              <w:t>Step 2 (M)</w:t>
            </w:r>
          </w:p>
        </w:tc>
        <w:tc>
          <w:tcPr>
            <w:tcW w:w="3449" w:type="pct"/>
            <w:tcBorders>
              <w:top w:val="single" w:color="auto" w:sz="4" w:space="0"/>
              <w:left w:val="single" w:color="auto" w:sz="4" w:space="0"/>
              <w:bottom w:val="single" w:color="auto" w:sz="4" w:space="0"/>
              <w:right w:val="single" w:color="auto" w:sz="4" w:space="0"/>
            </w:tcBorders>
          </w:tcPr>
          <w:p>
            <w:pPr>
              <w:pStyle w:val="114"/>
              <w:rPr>
                <w:sz w:val="20"/>
                <w:highlight w:val="none"/>
              </w:rPr>
            </w:pPr>
            <w:r>
              <w:rPr>
                <w:sz w:val="20"/>
                <w:highlight w:val="none"/>
              </w:rPr>
              <w:t xml:space="preserve">When the UE receives the request from the RAN node to temporarily stop reporting, the UE access stratum informs the application that reporting has temporarily been stopped. The application continues any ongoing recording and stores the recorded information until a restart request is received. </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Step 3 (M)</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When the RAN overload situation is ended, the RAN node sends a request to restart the reporting to the UEs that has temporarily stopped the QoE information reporting. An indication about the restart is sent to the management system.</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Step 4 (M)</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When the UE receives the request from the RAN node, the UE access stratum informs the application to restart the QoE information reporting.</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Ends when</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 xml:space="preserve">The management system has received the indication that a recording session has been restarted. </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Exceptions</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The recording time expires before the RAN overload is ended.</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Post-conditions</w:t>
            </w:r>
          </w:p>
        </w:tc>
        <w:tc>
          <w:tcPr>
            <w:tcW w:w="3449"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The QoE information collection is active.</w:t>
            </w:r>
          </w:p>
        </w:tc>
        <w:tc>
          <w:tcPr>
            <w:tcW w:w="705" w:type="pct"/>
            <w:tcBorders>
              <w:top w:val="single" w:color="auto" w:sz="4" w:space="0"/>
              <w:left w:val="single" w:color="auto" w:sz="4" w:space="0"/>
              <w:bottom w:val="single" w:color="auto" w:sz="4" w:space="0"/>
              <w:right w:val="single" w:color="auto" w:sz="4" w:space="0"/>
            </w:tcBorders>
          </w:tcPr>
          <w:p>
            <w:pPr>
              <w:pStyle w:val="114"/>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pct"/>
            <w:tcBorders>
              <w:top w:val="single" w:color="auto" w:sz="4" w:space="0"/>
              <w:left w:val="single" w:color="auto" w:sz="4" w:space="0"/>
              <w:bottom w:val="single" w:color="auto" w:sz="4" w:space="0"/>
              <w:right w:val="single" w:color="auto" w:sz="4" w:space="0"/>
            </w:tcBorders>
          </w:tcPr>
          <w:p>
            <w:pPr>
              <w:pStyle w:val="114"/>
              <w:rPr>
                <w:sz w:val="20"/>
              </w:rPr>
            </w:pPr>
            <w:r>
              <w:rPr>
                <w:sz w:val="20"/>
              </w:rPr>
              <w:t>Traceability</w:t>
            </w:r>
          </w:p>
        </w:tc>
        <w:tc>
          <w:tcPr>
            <w:tcW w:w="3449" w:type="pct"/>
            <w:tcBorders>
              <w:top w:val="single" w:color="auto" w:sz="4" w:space="0"/>
              <w:left w:val="single" w:color="auto" w:sz="4" w:space="0"/>
              <w:bottom w:val="single" w:color="auto" w:sz="4" w:space="0"/>
              <w:right w:val="single" w:color="auto" w:sz="4" w:space="0"/>
            </w:tcBorders>
          </w:tcPr>
          <w:p>
            <w:pPr>
              <w:pStyle w:val="114"/>
              <w:rPr>
                <w:sz w:val="20"/>
                <w:lang w:val="es-ES"/>
              </w:rPr>
            </w:pPr>
            <w:r>
              <w:rPr>
                <w:b/>
                <w:sz w:val="20"/>
                <w:lang w:val="es-ES"/>
              </w:rPr>
              <w:t>REQ-EUSPC-CON-9, REQ-EUSPC-CON-10</w:t>
            </w:r>
          </w:p>
        </w:tc>
        <w:tc>
          <w:tcPr>
            <w:tcW w:w="705" w:type="pct"/>
            <w:tcBorders>
              <w:top w:val="single" w:color="auto" w:sz="4" w:space="0"/>
              <w:left w:val="single" w:color="auto" w:sz="4" w:space="0"/>
              <w:bottom w:val="single" w:color="auto" w:sz="4" w:space="0"/>
              <w:right w:val="single" w:color="auto" w:sz="4" w:space="0"/>
            </w:tcBorders>
          </w:tcPr>
          <w:p>
            <w:pPr>
              <w:pStyle w:val="114"/>
              <w:rPr>
                <w:sz w:val="20"/>
                <w:lang w:val="es-E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pStyle w:val="114"/>
              <w:rPr>
                <w:sz w:val="20"/>
                <w:lang w:val="es-ES"/>
              </w:rPr>
            </w:pPr>
          </w:p>
        </w:tc>
      </w:tr>
    </w:tbl>
    <w:p>
      <w:pPr>
        <w:snapToGrid w:val="0"/>
        <w:spacing w:before="120" w:beforeLines="50" w:after="60" w:afterLines="25" w:line="300" w:lineRule="auto"/>
        <w:jc w:val="both"/>
        <w:rPr>
          <w:rFonts w:eastAsia="微软雅黑"/>
          <w:b/>
          <w:szCs w:val="20"/>
        </w:rPr>
      </w:pPr>
      <w:r>
        <w:rPr>
          <w:rFonts w:eastAsia="宋体"/>
          <w:b/>
          <w:bCs/>
          <w:iCs/>
        </w:rPr>
        <w:t xml:space="preserve">Observation 2: RAN overload is a high-level use case specified in TS28.404, the detailed RAN </w:t>
      </w:r>
      <w:r>
        <w:rPr>
          <w:rFonts w:hint="eastAsia" w:eastAsia="宋体"/>
          <w:b/>
          <w:bCs/>
          <w:iCs/>
        </w:rPr>
        <w:t>functionalities should be support at RAN</w:t>
      </w:r>
      <w:r>
        <w:rPr>
          <w:rFonts w:eastAsia="宋体"/>
          <w:b/>
          <w:bCs/>
          <w:iCs/>
        </w:rPr>
        <w:t>.</w:t>
      </w:r>
    </w:p>
    <w:p>
      <w:pPr>
        <w:numPr>
          <w:ilvl w:val="1"/>
          <w:numId w:val="6"/>
        </w:numPr>
        <w:snapToGrid w:val="0"/>
        <w:spacing w:before="240" w:after="120" w:afterLines="50" w:line="240" w:lineRule="auto"/>
        <w:jc w:val="both"/>
        <w:outlineLvl w:val="1"/>
        <w:rPr>
          <w:rFonts w:eastAsia="宋体"/>
          <w:b/>
          <w:bCs/>
          <w:sz w:val="24"/>
          <w:szCs w:val="24"/>
        </w:rPr>
      </w:pPr>
      <w:r>
        <w:rPr>
          <w:rFonts w:eastAsia="宋体"/>
          <w:b/>
          <w:bCs/>
          <w:sz w:val="24"/>
          <w:szCs w:val="24"/>
        </w:rPr>
        <w:t>Progress on pause and resume</w:t>
      </w:r>
      <w:r>
        <w:rPr>
          <w:rFonts w:hint="eastAsia" w:eastAsia="宋体"/>
          <w:b/>
          <w:bCs/>
          <w:sz w:val="24"/>
          <w:szCs w:val="24"/>
        </w:rPr>
        <w:t xml:space="preserve"> in R17 NR QoE WI</w:t>
      </w:r>
    </w:p>
    <w:p>
      <w:pPr>
        <w:snapToGrid w:val="0"/>
        <w:spacing w:before="120" w:after="120" w:afterLines="50" w:line="300" w:lineRule="auto"/>
        <w:jc w:val="both"/>
        <w:rPr>
          <w:rFonts w:eastAsia="微软雅黑"/>
          <w:szCs w:val="20"/>
          <w:lang w:val="en-GB"/>
        </w:rPr>
      </w:pPr>
      <w:r>
        <w:rPr>
          <w:rFonts w:eastAsia="微软雅黑"/>
          <w:szCs w:val="20"/>
          <w:lang w:val="en-GB"/>
        </w:rPr>
        <w:t xml:space="preserve">Pause and resume features are discussed </w:t>
      </w:r>
      <w:r>
        <w:rPr>
          <w:rFonts w:hint="eastAsia" w:eastAsia="微软雅黑"/>
          <w:szCs w:val="20"/>
        </w:rPr>
        <w:t xml:space="preserve">from </w:t>
      </w:r>
      <w:r>
        <w:rPr>
          <w:rFonts w:eastAsia="微软雅黑"/>
          <w:szCs w:val="20"/>
          <w:lang w:val="en-GB"/>
        </w:rPr>
        <w:t>RAN2#113b-e</w:t>
      </w:r>
      <w:r>
        <w:rPr>
          <w:rFonts w:hint="eastAsia" w:eastAsia="微软雅黑"/>
          <w:szCs w:val="20"/>
        </w:rPr>
        <w:t xml:space="preserve"> meeting to RAN2 </w:t>
      </w:r>
      <w:r>
        <w:rPr>
          <w:rFonts w:eastAsia="微软雅黑"/>
          <w:szCs w:val="20"/>
          <w:lang w:val="en-GB"/>
        </w:rPr>
        <w:t>#11</w:t>
      </w:r>
      <w:r>
        <w:rPr>
          <w:rFonts w:hint="eastAsia" w:eastAsia="微软雅黑"/>
          <w:szCs w:val="20"/>
        </w:rPr>
        <w:t>6</w:t>
      </w:r>
      <w:r>
        <w:rPr>
          <w:rFonts w:eastAsia="微软雅黑"/>
          <w:szCs w:val="20"/>
          <w:lang w:val="en-GB"/>
        </w:rPr>
        <w:t>b-e</w:t>
      </w:r>
      <w:r>
        <w:rPr>
          <w:rFonts w:hint="eastAsia" w:eastAsia="微软雅黑"/>
          <w:szCs w:val="20"/>
        </w:rPr>
        <w:t xml:space="preserve"> meeting</w:t>
      </w:r>
      <w:r>
        <w:rPr>
          <w:rFonts w:eastAsia="微软雅黑"/>
          <w:szCs w:val="20"/>
          <w:lang w:val="en-GB"/>
        </w:rPr>
        <w:t>, and the progress are listed as below:</w:t>
      </w:r>
    </w:p>
    <w:p>
      <w:pPr>
        <w:snapToGrid w:val="0"/>
        <w:spacing w:before="120" w:after="120" w:afterLines="50" w:line="300" w:lineRule="auto"/>
        <w:jc w:val="both"/>
        <w:rPr>
          <w:rFonts w:eastAsia="微软雅黑"/>
          <w:szCs w:val="20"/>
          <w:lang w:val="en-GB"/>
        </w:rPr>
      </w:pPr>
      <w:r>
        <w:rPr>
          <w:rFonts w:eastAsia="微软雅黑"/>
          <w:b/>
          <w:szCs w:val="20"/>
          <w:lang w:val="en-GB"/>
        </w:rPr>
        <w:t>Approved:</w:t>
      </w:r>
      <w:r>
        <w:rPr>
          <w:rFonts w:eastAsia="微软雅黑"/>
          <w:szCs w:val="20"/>
          <w:lang w:val="en-GB"/>
        </w:rPr>
        <w:t xml:space="preserve"> “QoE pause” indication from the network is used to temporarily stop QoE reports sent from the UE to the network. And RAN2 goes with selective pause</w:t>
      </w:r>
      <w:r>
        <w:rPr>
          <w:rFonts w:hint="eastAsia" w:eastAsia="微软雅黑"/>
          <w:szCs w:val="20"/>
          <w:lang w:val="en-GB"/>
        </w:rPr>
        <w:t>/</w:t>
      </w:r>
      <w:r>
        <w:rPr>
          <w:rFonts w:eastAsia="微软雅黑"/>
          <w:szCs w:val="20"/>
          <w:lang w:val="en-GB"/>
        </w:rPr>
        <w:t>resume.</w:t>
      </w:r>
    </w:p>
    <w:p>
      <w:pPr>
        <w:snapToGrid w:val="0"/>
        <w:spacing w:before="120" w:after="120" w:afterLines="50" w:line="300" w:lineRule="auto"/>
        <w:jc w:val="both"/>
        <w:rPr>
          <w:rFonts w:eastAsia="微软雅黑"/>
          <w:szCs w:val="20"/>
          <w:lang w:val="en-GB"/>
        </w:rPr>
      </w:pPr>
      <w:r>
        <w:rPr>
          <w:rFonts w:eastAsia="微软雅黑"/>
          <w:b/>
          <w:szCs w:val="20"/>
          <w:lang w:val="en-GB"/>
        </w:rPr>
        <w:t>RAN2 FFS:</w:t>
      </w:r>
      <w:r>
        <w:rPr>
          <w:rFonts w:eastAsia="微软雅黑"/>
          <w:szCs w:val="20"/>
          <w:lang w:val="en-GB"/>
        </w:rPr>
        <w:t xml:space="preserve"> The following are options considered by RAN2 for QoE report handling during RAN overload via “QoE report pause indication”:</w:t>
      </w:r>
    </w:p>
    <w:p>
      <w:pPr>
        <w:numPr>
          <w:ilvl w:val="0"/>
          <w:numId w:val="9"/>
        </w:numPr>
        <w:snapToGrid w:val="0"/>
        <w:spacing w:before="120" w:after="120" w:afterLines="50" w:line="300" w:lineRule="auto"/>
        <w:jc w:val="both"/>
        <w:rPr>
          <w:rFonts w:eastAsia="微软雅黑"/>
          <w:szCs w:val="20"/>
          <w:lang w:val="en-GB"/>
        </w:rPr>
      </w:pPr>
      <w:r>
        <w:rPr>
          <w:rFonts w:eastAsia="微软雅黑"/>
          <w:szCs w:val="20"/>
          <w:lang w:val="en-GB"/>
        </w:rPr>
        <w:t>Option 1: Application layer is responsible for storing QoE reports when the UE receives QoE pause indication.</w:t>
      </w:r>
    </w:p>
    <w:p>
      <w:pPr>
        <w:numPr>
          <w:ilvl w:val="0"/>
          <w:numId w:val="9"/>
        </w:numPr>
        <w:snapToGrid w:val="0"/>
        <w:spacing w:before="120" w:after="120" w:afterLines="50" w:line="300" w:lineRule="auto"/>
        <w:jc w:val="both"/>
        <w:rPr>
          <w:rFonts w:eastAsia="微软雅黑"/>
          <w:szCs w:val="20"/>
          <w:lang w:val="en-GB"/>
        </w:rPr>
      </w:pPr>
      <w:r>
        <w:rPr>
          <w:rFonts w:eastAsia="微软雅黑"/>
          <w:szCs w:val="20"/>
          <w:lang w:val="en-GB"/>
        </w:rPr>
        <w:t>Option 2: AS layer is responsible for storing QoE reports when the UE receives QoE pause indication.</w:t>
      </w:r>
    </w:p>
    <w:p>
      <w:pPr>
        <w:numPr>
          <w:ilvl w:val="0"/>
          <w:numId w:val="9"/>
        </w:numPr>
        <w:snapToGrid w:val="0"/>
        <w:spacing w:before="120" w:after="120" w:afterLines="50" w:line="300" w:lineRule="auto"/>
        <w:jc w:val="both"/>
        <w:rPr>
          <w:rFonts w:eastAsia="微软雅黑"/>
          <w:szCs w:val="20"/>
          <w:lang w:val="en-GB"/>
        </w:rPr>
      </w:pPr>
      <w:r>
        <w:rPr>
          <w:rFonts w:eastAsia="微软雅黑"/>
          <w:szCs w:val="20"/>
          <w:lang w:val="en-GB"/>
        </w:rPr>
        <w:t>Option 3: The QoE container received from application layer is discarded during pause.</w:t>
      </w:r>
    </w:p>
    <w:p>
      <w:pPr>
        <w:snapToGrid w:val="0"/>
        <w:spacing w:before="120" w:after="120" w:afterLines="50" w:line="300" w:lineRule="auto"/>
        <w:jc w:val="both"/>
        <w:rPr>
          <w:rFonts w:eastAsia="微软雅黑"/>
          <w:szCs w:val="20"/>
        </w:rPr>
      </w:pPr>
      <w:r>
        <w:rPr>
          <w:rFonts w:hint="eastAsia" w:eastAsia="微软雅黑"/>
          <w:szCs w:val="20"/>
        </w:rPr>
        <w:t xml:space="preserve">RAN2 </w:t>
      </w:r>
      <w:r>
        <w:rPr>
          <w:rFonts w:eastAsia="微软雅黑"/>
          <w:szCs w:val="20"/>
        </w:rPr>
        <w:t xml:space="preserve">Agree to send a LS </w:t>
      </w:r>
      <w:r>
        <w:rPr>
          <w:rFonts w:hint="eastAsia" w:eastAsia="微软雅黑"/>
          <w:szCs w:val="20"/>
        </w:rPr>
        <w:t>in [</w:t>
      </w:r>
      <w:r>
        <w:rPr>
          <w:rFonts w:eastAsia="微软雅黑"/>
          <w:szCs w:val="20"/>
        </w:rPr>
        <w:t>2</w:t>
      </w:r>
      <w:r>
        <w:rPr>
          <w:rFonts w:hint="eastAsia" w:eastAsia="微软雅黑"/>
          <w:szCs w:val="20"/>
        </w:rPr>
        <w:t>]</w:t>
      </w:r>
      <w:r>
        <w:rPr>
          <w:rFonts w:eastAsia="微软雅黑"/>
          <w:szCs w:val="20"/>
        </w:rPr>
        <w:t xml:space="preserve"> to SA3/SA4/SA5.</w:t>
      </w:r>
    </w:p>
    <w:p>
      <w:pPr>
        <w:snapToGrid w:val="0"/>
        <w:spacing w:before="120" w:after="120" w:afterLines="50" w:line="300" w:lineRule="auto"/>
        <w:jc w:val="both"/>
        <w:rPr>
          <w:rFonts w:eastAsia="微软雅黑"/>
          <w:szCs w:val="20"/>
          <w:lang w:val="en-GB"/>
        </w:rPr>
      </w:pPr>
      <w:r>
        <w:rPr>
          <w:rFonts w:eastAsia="微软雅黑"/>
          <w:szCs w:val="20"/>
          <w:lang w:val="en-GB"/>
        </w:rPr>
        <w:t>In the RAN2#116-e meeting, RAN2 decide to postpone the reply LS to SA4</w:t>
      </w:r>
      <w:r>
        <w:rPr>
          <w:rFonts w:hint="eastAsia" w:eastAsia="微软雅黑"/>
          <w:szCs w:val="20"/>
        </w:rPr>
        <w:t>, because there is</w:t>
      </w:r>
      <w:r>
        <w:rPr>
          <w:rFonts w:eastAsia="微软雅黑"/>
          <w:szCs w:val="20"/>
          <w:lang w:val="en-GB"/>
        </w:rPr>
        <w:t xml:space="preserve"> no consensus </w:t>
      </w:r>
      <w:r>
        <w:rPr>
          <w:rFonts w:hint="eastAsia" w:eastAsia="微软雅黑"/>
          <w:szCs w:val="20"/>
        </w:rPr>
        <w:t>in this meeting</w:t>
      </w:r>
      <w:r>
        <w:rPr>
          <w:rFonts w:eastAsia="微软雅黑"/>
          <w:szCs w:val="20"/>
          <w:lang w:val="en-GB"/>
        </w:rPr>
        <w:t xml:space="preserve">. In the LS from SA4 </w:t>
      </w:r>
      <w:r>
        <w:rPr>
          <w:rFonts w:hint="eastAsia" w:eastAsia="微软雅黑"/>
          <w:szCs w:val="20"/>
        </w:rPr>
        <w:t>[</w:t>
      </w:r>
      <w:r>
        <w:rPr>
          <w:rFonts w:eastAsia="微软雅黑"/>
          <w:szCs w:val="20"/>
        </w:rPr>
        <w:t>3</w:t>
      </w:r>
      <w:r>
        <w:rPr>
          <w:rFonts w:hint="eastAsia" w:eastAsia="微软雅黑"/>
          <w:szCs w:val="20"/>
        </w:rPr>
        <w:t>]</w:t>
      </w:r>
      <w:r>
        <w:rPr>
          <w:rFonts w:eastAsia="微软雅黑"/>
          <w:szCs w:val="20"/>
          <w:lang w:val="en-GB"/>
        </w:rPr>
        <w:t xml:space="preserve"> (R2-2109385), SA4 assume</w:t>
      </w:r>
      <w:r>
        <w:rPr>
          <w:rFonts w:hint="eastAsia" w:eastAsia="微软雅黑"/>
          <w:szCs w:val="20"/>
        </w:rPr>
        <w:t xml:space="preserve"> </w:t>
      </w:r>
      <w:r>
        <w:rPr>
          <w:rFonts w:eastAsia="微软雅黑"/>
          <w:szCs w:val="20"/>
          <w:lang w:val="en-GB"/>
        </w:rPr>
        <w:t xml:space="preserve">that the average </w:t>
      </w:r>
      <w:r>
        <w:rPr>
          <w:rFonts w:hint="eastAsia" w:eastAsia="微软雅黑"/>
          <w:szCs w:val="20"/>
        </w:rPr>
        <w:t xml:space="preserve">load </w:t>
      </w:r>
      <w:r>
        <w:rPr>
          <w:rFonts w:eastAsia="微软雅黑"/>
          <w:szCs w:val="20"/>
          <w:lang w:val="en-GB"/>
        </w:rPr>
        <w:t xml:space="preserve">per application </w:t>
      </w:r>
      <w:r>
        <w:rPr>
          <w:rFonts w:hint="eastAsia" w:eastAsia="微软雅黑"/>
          <w:szCs w:val="20"/>
        </w:rPr>
        <w:t xml:space="preserve">for </w:t>
      </w:r>
      <w:r>
        <w:rPr>
          <w:rFonts w:eastAsia="微软雅黑"/>
          <w:szCs w:val="20"/>
          <w:lang w:val="en-GB"/>
        </w:rPr>
        <w:t xml:space="preserve">QoE </w:t>
      </w:r>
      <w:r>
        <w:rPr>
          <w:rFonts w:hint="eastAsia" w:eastAsia="微软雅黑"/>
          <w:szCs w:val="20"/>
        </w:rPr>
        <w:t>measurement</w:t>
      </w:r>
      <w:r>
        <w:rPr>
          <w:rFonts w:eastAsia="微软雅黑"/>
          <w:szCs w:val="20"/>
          <w:lang w:val="en-GB"/>
        </w:rPr>
        <w:t xml:space="preserve"> is &lt;100 bits/sec, which means that QoE reports are generated in &lt;100 bits/sec but not transmit to the network in a low bitrate. Besides, it is observed that the LS from SA4 </w:t>
      </w:r>
      <w:r>
        <w:rPr>
          <w:rFonts w:hint="eastAsia" w:eastAsia="微软雅黑"/>
          <w:szCs w:val="20"/>
        </w:rPr>
        <w:t>[</w:t>
      </w:r>
      <w:r>
        <w:rPr>
          <w:rFonts w:eastAsia="微软雅黑"/>
          <w:szCs w:val="20"/>
        </w:rPr>
        <w:t>6</w:t>
      </w:r>
      <w:r>
        <w:rPr>
          <w:rFonts w:hint="eastAsia" w:eastAsia="微软雅黑"/>
          <w:szCs w:val="20"/>
        </w:rPr>
        <w:t>]</w:t>
      </w:r>
      <w:r>
        <w:rPr>
          <w:rFonts w:eastAsia="微软雅黑"/>
          <w:szCs w:val="20"/>
        </w:rPr>
        <w:t xml:space="preserve"> </w:t>
      </w:r>
      <w:r>
        <w:rPr>
          <w:rFonts w:eastAsia="微软雅黑"/>
          <w:szCs w:val="20"/>
          <w:lang w:val="en-GB"/>
        </w:rPr>
        <w:t xml:space="preserve">(R2-2109386) </w:t>
      </w:r>
      <w:r>
        <w:rPr>
          <w:rFonts w:hint="eastAsia" w:eastAsia="微软雅黑"/>
          <w:szCs w:val="20"/>
        </w:rPr>
        <w:t>assuming</w:t>
      </w:r>
      <w:r>
        <w:rPr>
          <w:rFonts w:eastAsia="微软雅黑"/>
          <w:szCs w:val="20"/>
          <w:lang w:val="en-GB"/>
        </w:rPr>
        <w:t xml:space="preserve"> that </w:t>
      </w:r>
      <w:r>
        <w:rPr>
          <w:rFonts w:hint="eastAsia" w:eastAsia="微软雅黑"/>
          <w:szCs w:val="20"/>
        </w:rPr>
        <w:t xml:space="preserve">the size of single </w:t>
      </w:r>
      <w:r>
        <w:rPr>
          <w:rFonts w:eastAsia="微软雅黑"/>
          <w:szCs w:val="20"/>
          <w:lang w:val="en-GB"/>
        </w:rPr>
        <w:t>VR QoE report is about 18k</w:t>
      </w:r>
      <w:r>
        <w:rPr>
          <w:rFonts w:hint="eastAsia" w:eastAsia="微软雅黑"/>
          <w:szCs w:val="20"/>
        </w:rPr>
        <w:t xml:space="preserve"> </w:t>
      </w:r>
      <w:r>
        <w:rPr>
          <w:rFonts w:eastAsia="微软雅黑"/>
          <w:szCs w:val="20"/>
          <w:lang w:val="en-GB"/>
        </w:rPr>
        <w:t>B</w:t>
      </w:r>
      <w:r>
        <w:rPr>
          <w:rFonts w:hint="eastAsia" w:eastAsia="微软雅黑"/>
          <w:szCs w:val="20"/>
        </w:rPr>
        <w:t>yte</w:t>
      </w:r>
      <w:r>
        <w:rPr>
          <w:rFonts w:eastAsia="微软雅黑"/>
          <w:szCs w:val="20"/>
          <w:lang w:val="en-GB"/>
        </w:rPr>
        <w:t xml:space="preserve"> as below. </w:t>
      </w:r>
    </w:p>
    <w:p>
      <w:pPr>
        <w:rPr>
          <w:i/>
        </w:rPr>
      </w:pPr>
      <w:r>
        <w:rPr>
          <w:i/>
        </w:rPr>
        <w:t xml:space="preserve"> “SA4 has evaluated one possible VR metric collection test, and with reporting every ten minutes the resulting zipped report container is then about 18 kB in size. Although that metrics can be configured in different ways, it illustrates that newer services can in some cases produce larger reports exceeding the existing size limits.”</w:t>
      </w:r>
    </w:p>
    <w:p>
      <w:pPr>
        <w:snapToGrid w:val="0"/>
        <w:spacing w:before="120" w:after="120" w:afterLines="50" w:line="300" w:lineRule="auto"/>
        <w:jc w:val="both"/>
        <w:rPr>
          <w:rFonts w:eastAsia="微软雅黑"/>
          <w:szCs w:val="20"/>
        </w:rPr>
      </w:pPr>
      <w:r>
        <w:rPr>
          <w:rFonts w:hint="eastAsia" w:eastAsia="微软雅黑"/>
          <w:szCs w:val="20"/>
        </w:rPr>
        <w:t>I</w:t>
      </w:r>
      <w:r>
        <w:rPr>
          <w:rFonts w:eastAsia="微软雅黑"/>
          <w:szCs w:val="20"/>
        </w:rPr>
        <w:t>n [AT116-e] [043][eQoE] email discussion, it was summarized that “</w:t>
      </w:r>
      <w:r>
        <w:rPr>
          <w:rFonts w:eastAsia="微软雅黑"/>
          <w:i/>
          <w:szCs w:val="20"/>
        </w:rPr>
        <w:t>RAN2 would like to indicate there can be multiple applications running at the UE and generating QoE reports simultaneously, so the load generated by QoE may be larger than what SA4 indicated.</w:t>
      </w:r>
      <w:r>
        <w:rPr>
          <w:rFonts w:eastAsia="微软雅黑"/>
          <w:szCs w:val="20"/>
        </w:rPr>
        <w:t xml:space="preserve">” </w:t>
      </w:r>
    </w:p>
    <w:p>
      <w:pPr>
        <w:snapToGrid w:val="0"/>
        <w:spacing w:before="120" w:beforeLines="50" w:after="60" w:afterLines="25" w:line="300" w:lineRule="auto"/>
        <w:jc w:val="both"/>
        <w:rPr>
          <w:rFonts w:eastAsia="宋体"/>
          <w:b/>
          <w:bCs/>
          <w:iCs/>
        </w:rPr>
      </w:pPr>
      <w:r>
        <w:rPr>
          <w:rFonts w:eastAsia="宋体"/>
          <w:b/>
          <w:bCs/>
          <w:iCs/>
        </w:rPr>
        <w:t xml:space="preserve">Observation </w:t>
      </w:r>
      <w:r>
        <w:rPr>
          <w:rFonts w:hint="eastAsia" w:eastAsia="宋体"/>
          <w:b/>
          <w:bCs/>
          <w:iCs/>
        </w:rPr>
        <w:t>3</w:t>
      </w:r>
      <w:r>
        <w:rPr>
          <w:rFonts w:eastAsia="宋体"/>
          <w:b/>
          <w:bCs/>
          <w:iCs/>
        </w:rPr>
        <w:t>:</w:t>
      </w:r>
      <w:r>
        <w:rPr>
          <w:rFonts w:hint="eastAsia" w:eastAsia="宋体"/>
          <w:b/>
          <w:bCs/>
          <w:iCs/>
        </w:rPr>
        <w:t xml:space="preserve"> RAN2 has discussed three options for QoE report handling during RAN overload and sent the LS to </w:t>
      </w:r>
      <w:r>
        <w:rPr>
          <w:rFonts w:eastAsia="宋体"/>
          <w:b/>
          <w:bCs/>
          <w:iCs/>
        </w:rPr>
        <w:t>SA3/SA4/SA5 asking for their preference.</w:t>
      </w:r>
      <w:r>
        <w:rPr>
          <w:rFonts w:hint="eastAsia" w:eastAsia="宋体"/>
          <w:b/>
          <w:bCs/>
          <w:iCs/>
        </w:rPr>
        <w:t xml:space="preserve"> According to the LS replied from SA4, the average QoE load per application is less than 100 bits/s and the size of one VR QoE report is assuming about 18k Byte.</w:t>
      </w:r>
    </w:p>
    <w:p>
      <w:pPr>
        <w:snapToGrid w:val="0"/>
        <w:spacing w:before="120" w:beforeLines="50" w:after="60" w:afterLines="25" w:line="300" w:lineRule="auto"/>
        <w:jc w:val="both"/>
        <w:rPr>
          <w:rFonts w:eastAsia="宋体"/>
          <w:iCs/>
        </w:rPr>
      </w:pPr>
      <w:r>
        <w:rPr>
          <w:rFonts w:hint="eastAsia" w:eastAsia="宋体"/>
          <w:iCs/>
        </w:rPr>
        <w:t>It is well known that</w:t>
      </w:r>
      <w:r>
        <w:rPr>
          <w:rFonts w:eastAsia="宋体"/>
          <w:iCs/>
        </w:rPr>
        <w:t xml:space="preserve"> the QoE measurement and collection is </w:t>
      </w:r>
      <w:r>
        <w:rPr>
          <w:rFonts w:hint="eastAsia" w:eastAsia="宋体"/>
          <w:iCs/>
        </w:rPr>
        <w:t xml:space="preserve">utilized </w:t>
      </w:r>
      <w:r>
        <w:rPr>
          <w:rFonts w:eastAsia="宋体"/>
          <w:iCs/>
        </w:rPr>
        <w:t xml:space="preserve">for the purpose of network management efficiency </w:t>
      </w:r>
      <w:r>
        <w:rPr>
          <w:rFonts w:hint="eastAsia" w:eastAsia="宋体"/>
          <w:iCs/>
        </w:rPr>
        <w:t xml:space="preserve">as well as improving </w:t>
      </w:r>
      <w:r>
        <w:rPr>
          <w:rFonts w:eastAsia="宋体"/>
          <w:iCs/>
        </w:rPr>
        <w:t>subscriber’s service experience</w:t>
      </w:r>
      <w:r>
        <w:rPr>
          <w:rFonts w:hint="eastAsia" w:eastAsia="宋体"/>
          <w:iCs/>
        </w:rPr>
        <w:t>. Although</w:t>
      </w:r>
      <w:r>
        <w:rPr>
          <w:rFonts w:eastAsia="宋体"/>
          <w:iCs/>
        </w:rPr>
        <w:t xml:space="preserve"> the traffic load of QoE report per application is much smaller than the gNB capacity</w:t>
      </w:r>
      <w:r>
        <w:rPr>
          <w:rFonts w:hint="eastAsia" w:eastAsia="宋体"/>
          <w:iCs/>
        </w:rPr>
        <w:t>, when</w:t>
      </w:r>
      <w:r>
        <w:rPr>
          <w:rFonts w:eastAsia="宋体"/>
          <w:iCs/>
        </w:rPr>
        <w:t xml:space="preserve"> a large number of UEs </w:t>
      </w:r>
      <w:r>
        <w:rPr>
          <w:rFonts w:hint="eastAsia" w:eastAsia="宋体"/>
          <w:iCs/>
        </w:rPr>
        <w:t xml:space="preserve">transfer </w:t>
      </w:r>
      <w:r>
        <w:rPr>
          <w:rFonts w:eastAsia="宋体"/>
          <w:iCs/>
        </w:rPr>
        <w:t>their QoE report</w:t>
      </w:r>
      <w:r>
        <w:rPr>
          <w:rFonts w:hint="eastAsia" w:eastAsia="宋体"/>
          <w:iCs/>
        </w:rPr>
        <w:t>s simultaneously in a very short time</w:t>
      </w:r>
      <w:r>
        <w:rPr>
          <w:rFonts w:eastAsia="宋体"/>
          <w:iCs/>
        </w:rPr>
        <w:t xml:space="preserve"> </w:t>
      </w:r>
      <w:r>
        <w:rPr>
          <w:rFonts w:hint="eastAsia" w:eastAsia="宋体"/>
          <w:iCs/>
        </w:rPr>
        <w:t xml:space="preserve">(e.g. VR multicast.), the benefits of pause and resume are apparent and the NR QoE reporting could be worked in a more efficient manner. When gNB overload occurs, there would be a very low data rates or the application service may be stopped at the duration time for some users, and not all the QoE report are needed to transfer to gNB or OAM to report the service experience when the overload scenario happens. Supporting pause and resume will bring the flexible to manage the traffic load for both control plane and user plane.  </w:t>
      </w:r>
    </w:p>
    <w:p>
      <w:pPr>
        <w:snapToGrid w:val="0"/>
        <w:spacing w:before="120" w:beforeLines="50" w:after="60" w:afterLines="25" w:line="300" w:lineRule="auto"/>
        <w:jc w:val="both"/>
        <w:rPr>
          <w:rFonts w:eastAsia="微软雅黑"/>
          <w:b/>
          <w:szCs w:val="20"/>
        </w:rPr>
      </w:pPr>
      <w:r>
        <w:rPr>
          <w:rFonts w:eastAsia="宋体"/>
          <w:b/>
          <w:bCs/>
          <w:iCs/>
        </w:rPr>
        <w:t>Proposal 1: RAN should continue work on supporting pause and resume in Rel-17.</w:t>
      </w:r>
    </w:p>
    <w:p>
      <w:pPr>
        <w:snapToGrid w:val="0"/>
        <w:spacing w:before="120" w:beforeLines="50" w:after="60" w:afterLines="25" w:line="300" w:lineRule="auto"/>
        <w:jc w:val="both"/>
        <w:rPr>
          <w:rFonts w:eastAsia="宋体"/>
          <w:b/>
          <w:szCs w:val="20"/>
        </w:rPr>
      </w:pPr>
    </w:p>
    <w:p>
      <w:pPr>
        <w:numPr>
          <w:ilvl w:val="1"/>
          <w:numId w:val="6"/>
        </w:numPr>
        <w:snapToGrid w:val="0"/>
        <w:spacing w:before="240" w:after="120" w:afterLines="50" w:line="240" w:lineRule="auto"/>
        <w:jc w:val="both"/>
        <w:outlineLvl w:val="1"/>
        <w:rPr>
          <w:rFonts w:eastAsia="宋体"/>
          <w:b/>
          <w:bCs/>
          <w:sz w:val="24"/>
          <w:szCs w:val="24"/>
        </w:rPr>
      </w:pPr>
      <w:r>
        <w:rPr>
          <w:rFonts w:eastAsia="宋体"/>
          <w:b/>
          <w:bCs/>
          <w:sz w:val="24"/>
          <w:szCs w:val="24"/>
        </w:rPr>
        <w:t>WF on handling of QoE pause reports</w:t>
      </w:r>
    </w:p>
    <w:p>
      <w:pPr>
        <w:snapToGrid w:val="0"/>
        <w:spacing w:before="120" w:after="120" w:afterLines="50" w:line="300" w:lineRule="auto"/>
        <w:jc w:val="both"/>
        <w:rPr>
          <w:rFonts w:eastAsia="微软雅黑"/>
          <w:szCs w:val="20"/>
        </w:rPr>
      </w:pPr>
      <w:r>
        <w:rPr>
          <w:rFonts w:hint="eastAsia" w:eastAsia="微软雅黑"/>
          <w:szCs w:val="20"/>
        </w:rPr>
        <w:t>The</w:t>
      </w:r>
      <w:r>
        <w:rPr>
          <w:rFonts w:eastAsia="微软雅黑"/>
          <w:szCs w:val="20"/>
          <w:lang w:val="en-GB"/>
        </w:rPr>
        <w:t xml:space="preserve"> </w:t>
      </w:r>
      <w:r>
        <w:rPr>
          <w:rFonts w:hint="eastAsia" w:eastAsia="微软雅黑"/>
          <w:szCs w:val="20"/>
        </w:rPr>
        <w:t>three</w:t>
      </w:r>
      <w:r>
        <w:rPr>
          <w:rFonts w:eastAsia="微软雅黑"/>
          <w:szCs w:val="20"/>
          <w:lang w:val="en-GB"/>
        </w:rPr>
        <w:t xml:space="preserve"> candidate options </w:t>
      </w:r>
      <w:r>
        <w:rPr>
          <w:rFonts w:hint="eastAsia" w:eastAsia="微软雅黑"/>
          <w:szCs w:val="20"/>
        </w:rPr>
        <w:t xml:space="preserve">in section 2.2 have been discussed in </w:t>
      </w:r>
      <w:r>
        <w:rPr>
          <w:rFonts w:eastAsia="微软雅黑"/>
          <w:szCs w:val="20"/>
          <w:lang w:val="en-GB"/>
        </w:rPr>
        <w:t xml:space="preserve">RAN2 for QoE report handling during RAN overload via “QoE report pause indication”. </w:t>
      </w:r>
      <w:r>
        <w:rPr>
          <w:rFonts w:hint="eastAsia" w:eastAsia="微软雅黑"/>
          <w:szCs w:val="20"/>
        </w:rPr>
        <w:t>According to the LS sent from</w:t>
      </w:r>
      <w:r>
        <w:rPr>
          <w:rFonts w:eastAsia="微软雅黑"/>
          <w:szCs w:val="20"/>
        </w:rPr>
        <w:t xml:space="preserve"> RAN2, companies show different preferences on AS layer storage and APP layer storage for QoE report with pros and cons. </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16"/>
        <w:gridCol w:w="3159"/>
        <w:gridCol w:w="31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16" w:type="dxa"/>
          </w:tcPr>
          <w:p>
            <w:pPr>
              <w:snapToGrid w:val="0"/>
              <w:spacing w:before="120" w:after="120" w:afterLines="50" w:line="300" w:lineRule="auto"/>
              <w:jc w:val="both"/>
              <w:rPr>
                <w:rFonts w:eastAsia="微软雅黑"/>
                <w:b/>
                <w:szCs w:val="20"/>
              </w:rPr>
            </w:pPr>
          </w:p>
        </w:tc>
        <w:tc>
          <w:tcPr>
            <w:tcW w:w="3159" w:type="dxa"/>
          </w:tcPr>
          <w:p>
            <w:pPr>
              <w:snapToGrid w:val="0"/>
              <w:spacing w:before="120" w:after="120" w:afterLines="50" w:line="300" w:lineRule="auto"/>
              <w:jc w:val="both"/>
              <w:rPr>
                <w:rFonts w:eastAsia="微软雅黑"/>
                <w:b/>
                <w:szCs w:val="20"/>
              </w:rPr>
            </w:pPr>
            <w:r>
              <w:rPr>
                <w:rFonts w:eastAsia="微软雅黑"/>
                <w:b/>
                <w:szCs w:val="20"/>
              </w:rPr>
              <w:t>Impacts to Other WGs</w:t>
            </w:r>
          </w:p>
        </w:tc>
        <w:tc>
          <w:tcPr>
            <w:tcW w:w="3175" w:type="dxa"/>
          </w:tcPr>
          <w:p>
            <w:pPr>
              <w:snapToGrid w:val="0"/>
              <w:spacing w:before="120" w:after="120" w:afterLines="50" w:line="300" w:lineRule="auto"/>
              <w:jc w:val="both"/>
              <w:rPr>
                <w:rFonts w:eastAsia="微软雅黑"/>
                <w:b/>
                <w:szCs w:val="20"/>
              </w:rPr>
            </w:pPr>
            <w:r>
              <w:rPr>
                <w:rFonts w:eastAsia="微软雅黑"/>
                <w:b/>
                <w:szCs w:val="20"/>
              </w:rPr>
              <w:t>Impacts to RAN2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16" w:type="dxa"/>
          </w:tcPr>
          <w:p>
            <w:pPr>
              <w:snapToGrid w:val="0"/>
              <w:spacing w:before="120" w:after="120" w:afterLines="50" w:line="300" w:lineRule="auto"/>
              <w:jc w:val="both"/>
              <w:rPr>
                <w:rFonts w:eastAsia="微软雅黑"/>
                <w:szCs w:val="20"/>
              </w:rPr>
            </w:pPr>
            <w:r>
              <w:rPr>
                <w:rFonts w:hint="eastAsia" w:eastAsia="微软雅黑"/>
                <w:szCs w:val="20"/>
              </w:rPr>
              <w:t>A</w:t>
            </w:r>
            <w:r>
              <w:rPr>
                <w:rFonts w:eastAsia="微软雅黑"/>
                <w:szCs w:val="20"/>
              </w:rPr>
              <w:t>S layer storage solution</w:t>
            </w:r>
          </w:p>
        </w:tc>
        <w:tc>
          <w:tcPr>
            <w:tcW w:w="3159" w:type="dxa"/>
          </w:tcPr>
          <w:p>
            <w:pPr>
              <w:snapToGrid w:val="0"/>
              <w:spacing w:before="120" w:after="120" w:afterLines="50" w:line="300" w:lineRule="auto"/>
              <w:jc w:val="both"/>
              <w:rPr>
                <w:rFonts w:eastAsia="微软雅黑"/>
                <w:szCs w:val="20"/>
              </w:rPr>
            </w:pPr>
            <w:r>
              <w:rPr>
                <w:rFonts w:hint="eastAsia" w:eastAsia="微软雅黑"/>
                <w:szCs w:val="20"/>
              </w:rPr>
              <w:t>N</w:t>
            </w:r>
            <w:r>
              <w:rPr>
                <w:rFonts w:eastAsia="微软雅黑"/>
                <w:szCs w:val="20"/>
              </w:rPr>
              <w:t>o impact to CT1</w:t>
            </w:r>
            <w:r>
              <w:rPr>
                <w:rFonts w:hint="eastAsia" w:eastAsia="微软雅黑"/>
                <w:szCs w:val="20"/>
              </w:rPr>
              <w:t>/</w:t>
            </w:r>
            <w:r>
              <w:rPr>
                <w:rFonts w:eastAsia="微软雅黑"/>
                <w:szCs w:val="20"/>
              </w:rPr>
              <w:t>SA4.</w:t>
            </w:r>
          </w:p>
        </w:tc>
        <w:tc>
          <w:tcPr>
            <w:tcW w:w="3175" w:type="dxa"/>
          </w:tcPr>
          <w:p>
            <w:pPr>
              <w:snapToGrid w:val="0"/>
              <w:spacing w:before="120" w:after="120" w:afterLines="50" w:line="300" w:lineRule="auto"/>
              <w:jc w:val="both"/>
              <w:rPr>
                <w:rFonts w:eastAsia="微软雅黑"/>
                <w:szCs w:val="20"/>
              </w:rPr>
            </w:pPr>
            <w:r>
              <w:rPr>
                <w:rFonts w:eastAsia="微软雅黑"/>
                <w:szCs w:val="20"/>
              </w:rPr>
              <w:t>RAN2 impacts related with pause/resume indications and storage size definition, new resume procedures, etc.</w:t>
            </w:r>
          </w:p>
          <w:p>
            <w:pPr>
              <w:snapToGrid w:val="0"/>
              <w:spacing w:before="120" w:after="120" w:afterLines="50" w:line="300" w:lineRule="auto"/>
              <w:jc w:val="both"/>
              <w:rPr>
                <w:rFonts w:eastAsia="微软雅黑"/>
                <w:szCs w:val="20"/>
              </w:rPr>
            </w:pPr>
            <w:r>
              <w:rPr>
                <w:rFonts w:eastAsia="微软雅黑"/>
                <w:szCs w:val="20"/>
              </w:rPr>
              <w:t>Need further discussion on how to support the AS layer storage solution, e.g.considering the storage size.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16" w:type="dxa"/>
          </w:tcPr>
          <w:p>
            <w:pPr>
              <w:snapToGrid w:val="0"/>
              <w:spacing w:before="120" w:after="120" w:afterLines="50" w:line="300" w:lineRule="auto"/>
              <w:jc w:val="both"/>
              <w:rPr>
                <w:rFonts w:eastAsia="微软雅黑"/>
                <w:szCs w:val="20"/>
              </w:rPr>
            </w:pPr>
            <w:r>
              <w:rPr>
                <w:rFonts w:eastAsia="微软雅黑"/>
                <w:szCs w:val="20"/>
              </w:rPr>
              <w:t>APP layer storage solution</w:t>
            </w:r>
          </w:p>
        </w:tc>
        <w:tc>
          <w:tcPr>
            <w:tcW w:w="3159" w:type="dxa"/>
          </w:tcPr>
          <w:p>
            <w:pPr>
              <w:snapToGrid w:val="0"/>
              <w:spacing w:before="120" w:after="120" w:afterLines="50" w:line="300" w:lineRule="auto"/>
              <w:jc w:val="both"/>
              <w:rPr>
                <w:rFonts w:eastAsia="微软雅黑"/>
                <w:szCs w:val="20"/>
              </w:rPr>
            </w:pPr>
            <w:r>
              <w:rPr>
                <w:rFonts w:hint="eastAsia" w:eastAsia="微软雅黑"/>
                <w:szCs w:val="20"/>
              </w:rPr>
              <w:t>In RAN2 previous discussion, s</w:t>
            </w:r>
            <w:r>
              <w:rPr>
                <w:rFonts w:eastAsia="微软雅黑"/>
                <w:szCs w:val="20"/>
              </w:rPr>
              <w:t>ome companies have concern</w:t>
            </w:r>
            <w:r>
              <w:rPr>
                <w:rFonts w:hint="eastAsia" w:eastAsia="微软雅黑"/>
                <w:szCs w:val="20"/>
              </w:rPr>
              <w:t xml:space="preserve"> on security issue, the concern is</w:t>
            </w:r>
            <w:r>
              <w:rPr>
                <w:rFonts w:eastAsia="微软雅黑"/>
                <w:szCs w:val="20"/>
              </w:rPr>
              <w:t xml:space="preserve"> that indicating pause to the applications may implicitly tell the applications about the RAN situation, e.g. overload. This needs to be checked with SA3 whether there is a security issue. </w:t>
            </w:r>
          </w:p>
          <w:p>
            <w:pPr>
              <w:snapToGrid w:val="0"/>
              <w:spacing w:before="120" w:after="120" w:afterLines="50" w:line="300" w:lineRule="auto"/>
              <w:jc w:val="both"/>
              <w:rPr>
                <w:rFonts w:eastAsia="微软雅黑"/>
                <w:szCs w:val="20"/>
              </w:rPr>
            </w:pPr>
            <w:r>
              <w:rPr>
                <w:rFonts w:eastAsia="微软雅黑"/>
                <w:szCs w:val="20"/>
              </w:rPr>
              <w:t>CT1</w:t>
            </w:r>
            <w:r>
              <w:rPr>
                <w:rFonts w:hint="eastAsia" w:eastAsia="微软雅黑"/>
                <w:szCs w:val="20"/>
              </w:rPr>
              <w:t>/</w:t>
            </w:r>
            <w:r>
              <w:rPr>
                <w:rFonts w:eastAsia="微软雅黑"/>
                <w:szCs w:val="20"/>
              </w:rPr>
              <w:t>SA4 impacts due to stored QoE reports in APP layer, and to handle of reports from different applications when the overload situation has passed</w:t>
            </w:r>
            <w:r>
              <w:rPr>
                <w:rFonts w:hint="eastAsia" w:eastAsia="微软雅黑"/>
                <w:szCs w:val="20"/>
              </w:rPr>
              <w:t>.</w:t>
            </w:r>
          </w:p>
        </w:tc>
        <w:tc>
          <w:tcPr>
            <w:tcW w:w="3175" w:type="dxa"/>
          </w:tcPr>
          <w:p>
            <w:pPr>
              <w:snapToGrid w:val="0"/>
              <w:spacing w:before="120" w:after="120" w:afterLines="50" w:line="300" w:lineRule="auto"/>
              <w:jc w:val="both"/>
              <w:rPr>
                <w:rFonts w:eastAsia="微软雅黑"/>
                <w:szCs w:val="20"/>
              </w:rPr>
            </w:pPr>
            <w:r>
              <w:rPr>
                <w:rFonts w:hint="eastAsia" w:eastAsia="微软雅黑"/>
                <w:szCs w:val="20"/>
              </w:rPr>
              <w:t>M</w:t>
            </w:r>
            <w:r>
              <w:rPr>
                <w:rFonts w:eastAsia="微软雅黑"/>
                <w:szCs w:val="20"/>
              </w:rPr>
              <w:t>inor impact to RAN2 with pause/resume indications definition.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16" w:type="dxa"/>
          </w:tcPr>
          <w:p>
            <w:pPr>
              <w:snapToGrid w:val="0"/>
              <w:spacing w:before="120" w:after="120" w:afterLines="50" w:line="300" w:lineRule="auto"/>
              <w:jc w:val="both"/>
              <w:rPr>
                <w:rFonts w:eastAsia="微软雅黑"/>
                <w:szCs w:val="20"/>
              </w:rPr>
            </w:pPr>
            <w:r>
              <w:rPr>
                <w:rFonts w:eastAsia="微软雅黑"/>
                <w:szCs w:val="20"/>
              </w:rPr>
              <w:t>D</w:t>
            </w:r>
            <w:r>
              <w:rPr>
                <w:rFonts w:eastAsia="微软雅黑"/>
                <w:szCs w:val="20"/>
                <w:lang w:val="en-GB"/>
              </w:rPr>
              <w:t>iscard</w:t>
            </w:r>
            <w:r>
              <w:rPr>
                <w:rFonts w:eastAsia="微软雅黑"/>
                <w:szCs w:val="20"/>
              </w:rPr>
              <w:t xml:space="preserve"> solution</w:t>
            </w:r>
          </w:p>
        </w:tc>
        <w:tc>
          <w:tcPr>
            <w:tcW w:w="3159" w:type="dxa"/>
          </w:tcPr>
          <w:p>
            <w:pPr>
              <w:snapToGrid w:val="0"/>
              <w:spacing w:before="120" w:after="120" w:afterLines="50" w:line="300" w:lineRule="auto"/>
              <w:jc w:val="both"/>
              <w:rPr>
                <w:rFonts w:eastAsia="微软雅黑"/>
                <w:szCs w:val="20"/>
              </w:rPr>
            </w:pPr>
            <w:r>
              <w:rPr>
                <w:rFonts w:hint="eastAsia" w:eastAsia="微软雅黑"/>
                <w:szCs w:val="20"/>
              </w:rPr>
              <w:t>No impact and no gain.</w:t>
            </w:r>
          </w:p>
        </w:tc>
        <w:tc>
          <w:tcPr>
            <w:tcW w:w="3175" w:type="dxa"/>
          </w:tcPr>
          <w:p>
            <w:pPr>
              <w:snapToGrid w:val="0"/>
              <w:spacing w:before="120" w:after="120" w:afterLines="50" w:line="300" w:lineRule="auto"/>
              <w:jc w:val="both"/>
              <w:rPr>
                <w:rFonts w:eastAsia="微软雅黑"/>
                <w:szCs w:val="20"/>
              </w:rPr>
            </w:pPr>
            <w:r>
              <w:rPr>
                <w:rFonts w:hint="eastAsia" w:eastAsia="微软雅黑"/>
                <w:szCs w:val="20"/>
              </w:rPr>
              <w:t>No impact and no gain.</w:t>
            </w:r>
          </w:p>
        </w:tc>
      </w:tr>
    </w:tbl>
    <w:p>
      <w:pPr>
        <w:snapToGrid w:val="0"/>
        <w:spacing w:before="120" w:after="120" w:afterLines="50" w:line="300" w:lineRule="auto"/>
        <w:jc w:val="both"/>
        <w:rPr>
          <w:rFonts w:eastAsia="微软雅黑"/>
          <w:szCs w:val="20"/>
        </w:rPr>
      </w:pPr>
    </w:p>
    <w:p>
      <w:pPr>
        <w:snapToGrid w:val="0"/>
        <w:spacing w:before="120" w:after="120" w:afterLines="50" w:line="300" w:lineRule="auto"/>
        <w:jc w:val="both"/>
        <w:rPr>
          <w:rFonts w:hint="eastAsia" w:eastAsia="微软雅黑"/>
          <w:szCs w:val="20"/>
          <w:lang w:eastAsia="zh-CN"/>
        </w:rPr>
      </w:pPr>
      <w:r>
        <w:rPr>
          <w:rFonts w:eastAsia="微软雅黑"/>
          <w:szCs w:val="20"/>
        </w:rPr>
        <w:t xml:space="preserve">As observed above, as companies cannot reach consensus on this issue in RAN2. Considering the less impacts on other work groups and the potential security issues, and RAN2 can specify the detail to support pause and resume functionality, it is proposed RAN plenary decide to support the AS layer storage solution, and confirm to support pause resume in Rel-17. </w:t>
      </w:r>
      <w:r>
        <w:rPr>
          <w:rFonts w:hint="eastAsia" w:eastAsia="微软雅黑"/>
          <w:szCs w:val="20"/>
          <w:lang w:val="en-US" w:eastAsia="zh-CN"/>
        </w:rPr>
        <w:t>The</w:t>
      </w:r>
      <w:r>
        <w:rPr>
          <w:rFonts w:hint="eastAsia" w:eastAsia="微软雅黑"/>
          <w:szCs w:val="20"/>
        </w:rPr>
        <w:t xml:space="preserve"> solution</w:t>
      </w:r>
      <w:r>
        <w:rPr>
          <w:rFonts w:hint="eastAsia" w:eastAsia="微软雅黑"/>
          <w:szCs w:val="20"/>
          <w:lang w:val="en-US" w:eastAsia="zh-CN"/>
        </w:rPr>
        <w:t xml:space="preserve"> supporting for </w:t>
      </w:r>
      <w:r>
        <w:rPr>
          <w:rFonts w:hint="eastAsia" w:eastAsia="微软雅黑"/>
          <w:szCs w:val="20"/>
        </w:rPr>
        <w:t xml:space="preserve">pause/resume mechanism </w:t>
      </w:r>
      <w:r>
        <w:rPr>
          <w:rFonts w:hint="eastAsia" w:eastAsia="微软雅黑"/>
          <w:szCs w:val="20"/>
          <w:lang w:val="en-US" w:eastAsia="zh-CN"/>
        </w:rPr>
        <w:t xml:space="preserve">should consider to limit the </w:t>
      </w:r>
      <w:r>
        <w:rPr>
          <w:rFonts w:hint="eastAsia" w:eastAsia="微软雅黑"/>
          <w:szCs w:val="20"/>
        </w:rPr>
        <w:t>standard impacts</w:t>
      </w:r>
      <w:r>
        <w:rPr>
          <w:rFonts w:hint="eastAsia" w:eastAsia="微软雅黑"/>
          <w:szCs w:val="20"/>
          <w:lang w:val="en-US" w:eastAsia="zh-CN"/>
        </w:rPr>
        <w:t xml:space="preserve"> first.</w:t>
      </w:r>
    </w:p>
    <w:p>
      <w:pPr>
        <w:snapToGrid w:val="0"/>
        <w:spacing w:before="120" w:after="120" w:afterLines="50" w:line="300" w:lineRule="auto"/>
        <w:jc w:val="both"/>
        <w:rPr>
          <w:rFonts w:eastAsia="微软雅黑"/>
          <w:b/>
          <w:szCs w:val="20"/>
          <w:lang w:val="en-GB"/>
        </w:rPr>
      </w:pPr>
      <w:r>
        <w:rPr>
          <w:rFonts w:eastAsia="宋体"/>
          <w:b/>
          <w:bCs/>
          <w:iCs/>
        </w:rPr>
        <w:t xml:space="preserve">Proposal </w:t>
      </w:r>
      <w:r>
        <w:rPr>
          <w:rFonts w:hint="eastAsia" w:eastAsia="宋体"/>
          <w:b/>
          <w:bCs/>
          <w:iCs/>
        </w:rPr>
        <w:t>2</w:t>
      </w:r>
      <w:r>
        <w:rPr>
          <w:rFonts w:eastAsia="宋体"/>
          <w:b/>
          <w:bCs/>
          <w:iCs/>
        </w:rPr>
        <w:t>:</w:t>
      </w:r>
      <w:r>
        <w:rPr>
          <w:rFonts w:eastAsia="微软雅黑"/>
          <w:szCs w:val="20"/>
          <w:lang w:val="en-GB"/>
        </w:rPr>
        <w:t xml:space="preserve"> </w:t>
      </w:r>
      <w:r>
        <w:rPr>
          <w:rFonts w:eastAsia="微软雅黑"/>
          <w:b/>
          <w:szCs w:val="20"/>
          <w:lang w:val="en-GB"/>
        </w:rPr>
        <w:t>RAN plenary decide to support the AS layer storage solution, and confirm to support pause and resume in Rel-17.</w:t>
      </w:r>
    </w:p>
    <w:p>
      <w:pPr>
        <w:snapToGrid w:val="0"/>
        <w:spacing w:before="120" w:after="120" w:afterLines="50" w:line="300" w:lineRule="auto"/>
        <w:jc w:val="both"/>
        <w:rPr>
          <w:rFonts w:eastAsia="微软雅黑"/>
          <w:szCs w:val="20"/>
          <w:lang w:val="en-GB"/>
        </w:rPr>
      </w:pPr>
    </w:p>
    <w:p>
      <w:pPr>
        <w:keepNext/>
        <w:widowControl w:val="0"/>
        <w:numPr>
          <w:ilvl w:val="0"/>
          <w:numId w:val="6"/>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snapToGrid w:val="0"/>
        <w:spacing w:before="120" w:beforeLines="50" w:after="60" w:afterLines="25" w:line="300" w:lineRule="auto"/>
        <w:jc w:val="both"/>
        <w:rPr>
          <w:rFonts w:eastAsia="宋体"/>
          <w:b/>
          <w:bCs/>
          <w:iCs/>
        </w:rPr>
      </w:pPr>
      <w:r>
        <w:rPr>
          <w:rFonts w:eastAsia="宋体"/>
          <w:b/>
          <w:bCs/>
          <w:iCs/>
        </w:rPr>
        <w:t xml:space="preserve">Observation 1: Pause and resume mechanism is </w:t>
      </w:r>
      <w:r>
        <w:rPr>
          <w:rFonts w:hint="eastAsia" w:eastAsia="宋体"/>
          <w:b/>
          <w:bCs/>
          <w:iCs/>
        </w:rPr>
        <w:t>approved as one of the</w:t>
      </w:r>
      <w:r>
        <w:rPr>
          <w:rFonts w:eastAsia="宋体"/>
          <w:b/>
          <w:bCs/>
          <w:iCs/>
        </w:rPr>
        <w:t xml:space="preserve"> objective</w:t>
      </w:r>
      <w:r>
        <w:rPr>
          <w:rFonts w:hint="eastAsia" w:eastAsia="宋体"/>
          <w:b/>
          <w:bCs/>
          <w:iCs/>
        </w:rPr>
        <w:t>s</w:t>
      </w:r>
      <w:r>
        <w:rPr>
          <w:rFonts w:eastAsia="宋体"/>
          <w:b/>
          <w:bCs/>
          <w:iCs/>
        </w:rPr>
        <w:t xml:space="preserve"> </w:t>
      </w:r>
      <w:r>
        <w:rPr>
          <w:rFonts w:hint="eastAsia" w:eastAsia="宋体"/>
          <w:b/>
          <w:bCs/>
          <w:iCs/>
        </w:rPr>
        <w:t>of</w:t>
      </w:r>
      <w:r>
        <w:rPr>
          <w:rFonts w:eastAsia="宋体"/>
          <w:b/>
          <w:bCs/>
          <w:iCs/>
        </w:rPr>
        <w:t xml:space="preserve"> R17 NR QoE WID</w:t>
      </w:r>
      <w:r>
        <w:rPr>
          <w:rFonts w:hint="eastAsia" w:eastAsia="宋体"/>
          <w:b/>
          <w:bCs/>
          <w:iCs/>
        </w:rPr>
        <w:t>. The potential solutions and detailed technical specification of the procedures are captured in the technical report</w:t>
      </w:r>
      <w:r>
        <w:rPr>
          <w:rFonts w:eastAsia="宋体"/>
          <w:b/>
          <w:bCs/>
          <w:iCs/>
        </w:rPr>
        <w:t xml:space="preserve"> TR 38.890 </w:t>
      </w:r>
      <w:r>
        <w:rPr>
          <w:rFonts w:hint="eastAsia" w:eastAsia="宋体"/>
          <w:b/>
          <w:bCs/>
          <w:iCs/>
        </w:rPr>
        <w:t xml:space="preserve">of </w:t>
      </w:r>
      <w:r>
        <w:rPr>
          <w:rFonts w:eastAsia="宋体"/>
          <w:b/>
          <w:bCs/>
          <w:iCs/>
        </w:rPr>
        <w:t xml:space="preserve">R17 NR QoE </w:t>
      </w:r>
      <w:r>
        <w:rPr>
          <w:rFonts w:hint="eastAsia" w:eastAsia="宋体"/>
          <w:b/>
          <w:bCs/>
          <w:iCs/>
        </w:rPr>
        <w:t>S</w:t>
      </w:r>
      <w:r>
        <w:rPr>
          <w:rFonts w:eastAsia="宋体"/>
          <w:b/>
          <w:bCs/>
          <w:iCs/>
        </w:rPr>
        <w:t>ID</w:t>
      </w:r>
      <w:r>
        <w:rPr>
          <w:rFonts w:hint="eastAsia" w:eastAsia="宋体"/>
          <w:b/>
          <w:bCs/>
          <w:iCs/>
        </w:rPr>
        <w:t>.</w:t>
      </w:r>
    </w:p>
    <w:p>
      <w:pPr>
        <w:snapToGrid w:val="0"/>
        <w:spacing w:before="120" w:beforeLines="50" w:after="60" w:afterLines="25" w:line="300" w:lineRule="auto"/>
        <w:jc w:val="both"/>
        <w:rPr>
          <w:rFonts w:eastAsia="微软雅黑"/>
          <w:b/>
          <w:szCs w:val="20"/>
        </w:rPr>
      </w:pPr>
      <w:r>
        <w:rPr>
          <w:rFonts w:eastAsia="宋体"/>
          <w:b/>
          <w:bCs/>
          <w:iCs/>
        </w:rPr>
        <w:t xml:space="preserve">Observation 2: RAN overload is a high-level use case specified in TS28.404, the detailed RAN </w:t>
      </w:r>
      <w:r>
        <w:rPr>
          <w:rFonts w:hint="eastAsia" w:eastAsia="宋体"/>
          <w:b/>
          <w:bCs/>
          <w:iCs/>
        </w:rPr>
        <w:t>functionalities should be support at RAN</w:t>
      </w:r>
      <w:r>
        <w:rPr>
          <w:rFonts w:eastAsia="宋体"/>
          <w:b/>
          <w:bCs/>
          <w:iCs/>
        </w:rPr>
        <w:t>.</w:t>
      </w:r>
    </w:p>
    <w:p>
      <w:pPr>
        <w:snapToGrid w:val="0"/>
        <w:spacing w:before="120" w:beforeLines="50" w:after="60" w:afterLines="25" w:line="300" w:lineRule="auto"/>
        <w:jc w:val="both"/>
        <w:rPr>
          <w:rFonts w:eastAsia="宋体"/>
          <w:b/>
          <w:bCs/>
          <w:iCs/>
        </w:rPr>
      </w:pPr>
      <w:r>
        <w:rPr>
          <w:rFonts w:eastAsia="宋体"/>
          <w:b/>
          <w:bCs/>
          <w:iCs/>
        </w:rPr>
        <w:t xml:space="preserve">Observation </w:t>
      </w:r>
      <w:r>
        <w:rPr>
          <w:rFonts w:hint="eastAsia" w:eastAsia="宋体"/>
          <w:b/>
          <w:bCs/>
          <w:iCs/>
        </w:rPr>
        <w:t>3</w:t>
      </w:r>
      <w:r>
        <w:rPr>
          <w:rFonts w:eastAsia="宋体"/>
          <w:b/>
          <w:bCs/>
          <w:iCs/>
        </w:rPr>
        <w:t>:</w:t>
      </w:r>
      <w:r>
        <w:rPr>
          <w:rFonts w:hint="eastAsia" w:eastAsia="宋体"/>
          <w:b/>
          <w:bCs/>
          <w:iCs/>
        </w:rPr>
        <w:t xml:space="preserve"> RAN2 has discussed three options for QoE report handling during RAN overload and sent the LS to </w:t>
      </w:r>
      <w:r>
        <w:rPr>
          <w:rFonts w:eastAsia="宋体"/>
          <w:b/>
          <w:bCs/>
          <w:iCs/>
        </w:rPr>
        <w:t>SA3/SA4/SA5 asking for their preference.</w:t>
      </w:r>
      <w:r>
        <w:rPr>
          <w:rFonts w:hint="eastAsia" w:eastAsia="宋体"/>
          <w:b/>
          <w:bCs/>
          <w:iCs/>
        </w:rPr>
        <w:t xml:space="preserve"> According to the LS replied from SA4, the average QoE load per application is less than 100 bits/s and the size of one VR QoE report is assuming about 18k Byte.</w:t>
      </w:r>
    </w:p>
    <w:p>
      <w:pPr>
        <w:snapToGrid w:val="0"/>
        <w:spacing w:before="120" w:beforeLines="50" w:after="60" w:afterLines="25" w:line="300" w:lineRule="auto"/>
        <w:jc w:val="both"/>
        <w:rPr>
          <w:rFonts w:eastAsia="微软雅黑"/>
          <w:b/>
          <w:szCs w:val="20"/>
        </w:rPr>
      </w:pPr>
      <w:r>
        <w:rPr>
          <w:rFonts w:eastAsia="宋体"/>
          <w:b/>
          <w:bCs/>
          <w:iCs/>
        </w:rPr>
        <w:t>Proposal 1: RAN should continue work on supporting pause and resume in Rel-17.</w:t>
      </w:r>
    </w:p>
    <w:p>
      <w:pPr>
        <w:snapToGrid w:val="0"/>
        <w:spacing w:before="120" w:after="120" w:afterLines="50" w:line="300" w:lineRule="auto"/>
        <w:jc w:val="both"/>
        <w:rPr>
          <w:rFonts w:eastAsia="微软雅黑"/>
          <w:b/>
          <w:szCs w:val="20"/>
          <w:lang w:val="en-GB"/>
        </w:rPr>
      </w:pPr>
      <w:r>
        <w:rPr>
          <w:rFonts w:eastAsia="宋体"/>
          <w:b/>
          <w:bCs/>
          <w:iCs/>
        </w:rPr>
        <w:t xml:space="preserve">Proposal </w:t>
      </w:r>
      <w:r>
        <w:rPr>
          <w:rFonts w:hint="eastAsia" w:eastAsia="宋体"/>
          <w:b/>
          <w:bCs/>
          <w:iCs/>
        </w:rPr>
        <w:t>2</w:t>
      </w:r>
      <w:r>
        <w:rPr>
          <w:rFonts w:eastAsia="宋体"/>
          <w:b/>
          <w:bCs/>
          <w:iCs/>
        </w:rPr>
        <w:t>:</w:t>
      </w:r>
      <w:r>
        <w:rPr>
          <w:rFonts w:eastAsia="微软雅黑"/>
          <w:szCs w:val="20"/>
          <w:lang w:val="en-GB"/>
        </w:rPr>
        <w:t xml:space="preserve"> </w:t>
      </w:r>
      <w:r>
        <w:rPr>
          <w:rFonts w:eastAsia="微软雅黑"/>
          <w:b/>
          <w:szCs w:val="20"/>
          <w:lang w:val="en-GB"/>
        </w:rPr>
        <w:t>RAN plenary decide to support the AS layer storage solution, and confirm to support pause and resume in Rel-17.</w:t>
      </w:r>
    </w:p>
    <w:p>
      <w:pPr>
        <w:pStyle w:val="111"/>
        <w:ind w:firstLine="0" w:firstLineChars="0"/>
        <w:rPr>
          <w:rFonts w:eastAsia="微软雅黑"/>
          <w:b/>
          <w:szCs w:val="20"/>
          <w:lang w:val="en-GB"/>
        </w:rPr>
      </w:pPr>
    </w:p>
    <w:p>
      <w:pPr>
        <w:keepNext/>
        <w:widowControl w:val="0"/>
        <w:numPr>
          <w:ilvl w:val="0"/>
          <w:numId w:val="6"/>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numPr>
          <w:ilvl w:val="0"/>
          <w:numId w:val="10"/>
        </w:numPr>
        <w:overflowPunct/>
        <w:autoSpaceDE/>
        <w:autoSpaceDN/>
        <w:adjustRightInd w:val="0"/>
        <w:snapToGrid w:val="0"/>
        <w:spacing w:after="0" w:line="240" w:lineRule="auto"/>
        <w:textAlignment w:val="auto"/>
        <w:rPr>
          <w:rFonts w:ascii="Arial" w:hAnsi="Arial" w:eastAsia="Times New Roman" w:cs="Arial"/>
          <w:szCs w:val="20"/>
          <w:lang w:val="en-GB" w:eastAsia="zh-CN"/>
        </w:rPr>
      </w:pPr>
      <w:r>
        <w:rPr>
          <w:rFonts w:ascii="Arial" w:hAnsi="Arial" w:eastAsia="Times New Roman" w:cs="Arial"/>
          <w:szCs w:val="20"/>
          <w:lang w:val="en-GB" w:eastAsia="zh-CN"/>
        </w:rPr>
        <w:t>RP-201225</w:t>
      </w:r>
      <w:r>
        <w:rPr>
          <w:rFonts w:ascii="Arial" w:hAnsi="Arial" w:eastAsia="Times New Roman" w:cs="Arial"/>
          <w:szCs w:val="20"/>
          <w:lang w:val="en-GB" w:eastAsia="zh-CN"/>
        </w:rPr>
        <w:tab/>
      </w:r>
      <w:r>
        <w:rPr>
          <w:rFonts w:ascii="Arial" w:hAnsi="Arial" w:eastAsia="Times New Roman" w:cs="Arial"/>
          <w:szCs w:val="20"/>
          <w:lang w:val="en-GB" w:eastAsia="zh-CN"/>
        </w:rPr>
        <w:t>New WID on NR QoE management and optimizations for diverse services</w:t>
      </w:r>
    </w:p>
    <w:p>
      <w:pPr>
        <w:numPr>
          <w:ilvl w:val="0"/>
          <w:numId w:val="10"/>
        </w:numPr>
        <w:overflowPunct/>
        <w:autoSpaceDE/>
        <w:autoSpaceDN/>
        <w:adjustRightInd w:val="0"/>
        <w:snapToGrid w:val="0"/>
        <w:spacing w:after="0" w:line="240" w:lineRule="auto"/>
        <w:textAlignment w:val="auto"/>
        <w:rPr>
          <w:rFonts w:ascii="Arial" w:hAnsi="Arial" w:eastAsia="Times New Roman" w:cs="Arial"/>
          <w:szCs w:val="20"/>
          <w:lang w:val="en-GB" w:eastAsia="zh-CN"/>
        </w:rPr>
      </w:pPr>
      <w:r>
        <w:rPr>
          <w:rFonts w:ascii="Arial" w:hAnsi="Arial" w:eastAsia="Times New Roman" w:cs="Arial"/>
          <w:szCs w:val="20"/>
          <w:lang w:val="en-GB" w:eastAsia="zh-CN"/>
        </w:rPr>
        <w:t>R2-2106775</w:t>
      </w:r>
      <w:r>
        <w:rPr>
          <w:rFonts w:ascii="Arial" w:hAnsi="Arial" w:eastAsia="Times New Roman" w:cs="Arial"/>
          <w:szCs w:val="20"/>
          <w:lang w:val="en-GB" w:eastAsia="zh-CN"/>
        </w:rPr>
        <w:tab/>
      </w:r>
      <w:r>
        <w:rPr>
          <w:rFonts w:ascii="Arial" w:hAnsi="Arial" w:eastAsia="Times New Roman" w:cs="Arial"/>
          <w:szCs w:val="20"/>
          <w:lang w:val="en-GB" w:eastAsia="zh-CN"/>
        </w:rPr>
        <w:t>LS on QoE report handling at QoE pause</w:t>
      </w:r>
      <w:r>
        <w:rPr>
          <w:rFonts w:ascii="Arial" w:hAnsi="Arial" w:eastAsia="Times New Roman" w:cs="Arial"/>
          <w:szCs w:val="20"/>
          <w:lang w:val="en-GB" w:eastAsia="zh-CN"/>
        </w:rPr>
        <w:tab/>
      </w:r>
    </w:p>
    <w:p>
      <w:pPr>
        <w:numPr>
          <w:ilvl w:val="0"/>
          <w:numId w:val="10"/>
        </w:numPr>
        <w:overflowPunct/>
        <w:autoSpaceDE/>
        <w:autoSpaceDN/>
        <w:adjustRightInd w:val="0"/>
        <w:snapToGrid w:val="0"/>
        <w:spacing w:after="0" w:line="240" w:lineRule="auto"/>
        <w:textAlignment w:val="auto"/>
        <w:rPr>
          <w:rFonts w:ascii="Arial" w:hAnsi="Arial" w:eastAsia="Times New Roman" w:cs="Arial"/>
          <w:szCs w:val="20"/>
          <w:lang w:val="en-GB" w:eastAsia="zh-CN"/>
        </w:rPr>
      </w:pPr>
      <w:r>
        <w:rPr>
          <w:rFonts w:ascii="Arial" w:hAnsi="Arial" w:eastAsia="Times New Roman" w:cs="Arial"/>
          <w:szCs w:val="20"/>
          <w:lang w:val="en-GB" w:eastAsia="zh-CN"/>
        </w:rPr>
        <w:t>R2-2109385</w:t>
      </w:r>
      <w:r>
        <w:rPr>
          <w:rFonts w:ascii="Arial" w:hAnsi="Arial" w:eastAsia="Times New Roman" w:cs="Arial"/>
          <w:szCs w:val="20"/>
          <w:lang w:val="en-GB" w:eastAsia="zh-CN"/>
        </w:rPr>
        <w:tab/>
      </w:r>
      <w:r>
        <w:rPr>
          <w:rFonts w:ascii="Arial" w:hAnsi="Arial" w:eastAsia="Times New Roman" w:cs="Arial"/>
          <w:szCs w:val="20"/>
          <w:lang w:val="en-GB" w:eastAsia="zh-CN"/>
        </w:rPr>
        <w:t>LS Reply on QoE report handling at QoE pause</w:t>
      </w:r>
    </w:p>
    <w:p>
      <w:pPr>
        <w:numPr>
          <w:ilvl w:val="0"/>
          <w:numId w:val="10"/>
        </w:numPr>
        <w:overflowPunct/>
        <w:autoSpaceDE/>
        <w:autoSpaceDN/>
        <w:adjustRightInd w:val="0"/>
        <w:snapToGrid w:val="0"/>
        <w:spacing w:after="0" w:line="240" w:lineRule="auto"/>
        <w:textAlignment w:val="auto"/>
        <w:rPr>
          <w:rFonts w:ascii="Arial" w:hAnsi="Arial" w:eastAsia="Times New Roman" w:cs="Arial"/>
          <w:szCs w:val="20"/>
          <w:lang w:val="en-GB" w:eastAsia="zh-CN"/>
        </w:rPr>
      </w:pPr>
      <w:r>
        <w:rPr>
          <w:rFonts w:ascii="Arial" w:hAnsi="Arial" w:eastAsia="Times New Roman" w:cs="Arial"/>
          <w:szCs w:val="20"/>
          <w:lang w:val="en-GB" w:eastAsia="zh-CN"/>
        </w:rPr>
        <w:t>TR 38.890 v17.0.0</w:t>
      </w:r>
      <w:r>
        <w:rPr>
          <w:rFonts w:ascii="Arial" w:hAnsi="Arial" w:eastAsia="Times New Roman" w:cs="Arial"/>
          <w:szCs w:val="20"/>
          <w:lang w:val="en-GB" w:eastAsia="zh-CN"/>
        </w:rPr>
        <w:tab/>
      </w:r>
      <w:r>
        <w:rPr>
          <w:rFonts w:ascii="Arial" w:hAnsi="Arial" w:eastAsia="Times New Roman" w:cs="Arial"/>
          <w:szCs w:val="20"/>
          <w:lang w:val="en-GB" w:eastAsia="zh-CN"/>
        </w:rPr>
        <w:t>Study on NR QoE (Quality of Experience) management and optimizations for diverse services</w:t>
      </w:r>
    </w:p>
    <w:p>
      <w:pPr>
        <w:numPr>
          <w:ilvl w:val="0"/>
          <w:numId w:val="10"/>
        </w:numPr>
        <w:overflowPunct/>
        <w:autoSpaceDE/>
        <w:autoSpaceDN/>
        <w:adjustRightInd w:val="0"/>
        <w:snapToGrid w:val="0"/>
        <w:spacing w:after="0" w:line="240" w:lineRule="auto"/>
        <w:textAlignment w:val="auto"/>
        <w:rPr>
          <w:rFonts w:ascii="Arial" w:hAnsi="Arial" w:eastAsia="Times New Roman" w:cs="Arial"/>
          <w:szCs w:val="20"/>
          <w:lang w:val="en-GB" w:eastAsia="zh-CN"/>
        </w:rPr>
      </w:pPr>
      <w:r>
        <w:rPr>
          <w:rFonts w:ascii="Arial" w:hAnsi="Arial" w:eastAsia="Times New Roman" w:cs="Arial"/>
          <w:szCs w:val="20"/>
          <w:lang w:val="en-GB" w:eastAsia="zh-CN"/>
        </w:rPr>
        <w:t>TS 28.404 v17.0.0</w:t>
      </w:r>
      <w:r>
        <w:rPr>
          <w:rFonts w:ascii="Arial" w:hAnsi="Arial" w:eastAsia="Times New Roman" w:cs="Arial"/>
          <w:szCs w:val="20"/>
          <w:lang w:val="en-GB" w:eastAsia="zh-CN"/>
        </w:rPr>
        <w:tab/>
      </w:r>
      <w:r>
        <w:rPr>
          <w:rFonts w:ascii="Arial" w:hAnsi="Arial" w:eastAsia="Times New Roman" w:cs="Arial"/>
          <w:szCs w:val="20"/>
          <w:lang w:val="en-GB" w:eastAsia="zh-CN"/>
        </w:rPr>
        <w:t>Telecommunication management; Quality of Experience (QoE) measurement collection; Concepts, use cases and requirements</w:t>
      </w:r>
    </w:p>
    <w:p>
      <w:pPr>
        <w:numPr>
          <w:ilvl w:val="0"/>
          <w:numId w:val="10"/>
        </w:numPr>
        <w:overflowPunct/>
        <w:autoSpaceDE/>
        <w:autoSpaceDN/>
        <w:adjustRightInd w:val="0"/>
        <w:snapToGrid w:val="0"/>
        <w:spacing w:after="0" w:line="240" w:lineRule="auto"/>
        <w:textAlignment w:val="auto"/>
        <w:rPr>
          <w:rFonts w:ascii="Arial" w:hAnsi="Arial" w:eastAsia="Times New Roman" w:cs="Arial"/>
          <w:szCs w:val="20"/>
          <w:lang w:val="en-GB" w:eastAsia="zh-CN"/>
        </w:rPr>
      </w:pPr>
      <w:r>
        <w:rPr>
          <w:rFonts w:ascii="Arial" w:hAnsi="Arial" w:eastAsia="Times New Roman" w:cs="Arial"/>
          <w:szCs w:val="20"/>
          <w:lang w:val="en-GB" w:eastAsia="zh-CN"/>
        </w:rPr>
        <w:t>R2-2109386</w:t>
      </w:r>
      <w:r>
        <w:rPr>
          <w:rFonts w:ascii="Arial" w:hAnsi="Arial" w:eastAsia="Times New Roman" w:cs="Arial"/>
          <w:szCs w:val="20"/>
          <w:lang w:val="en-GB" w:eastAsia="zh-CN"/>
        </w:rPr>
        <w:tab/>
      </w:r>
      <w:r>
        <w:rPr>
          <w:rFonts w:ascii="Arial" w:hAnsi="Arial" w:eastAsia="Times New Roman" w:cs="Arial"/>
          <w:szCs w:val="20"/>
          <w:lang w:val="en-GB" w:eastAsia="zh-CN"/>
        </w:rPr>
        <w:t>Reply LS on QoE configuration and reporting related issues</w:t>
      </w:r>
      <w:bookmarkStart w:id="2" w:name="_GoBack"/>
      <w:bookmarkEnd w:id="2"/>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4296621F"/>
    <w:multiLevelType w:val="singleLevel"/>
    <w:tmpl w:val="4296621F"/>
    <w:lvl w:ilvl="0" w:tentative="0">
      <w:start w:val="1"/>
      <w:numFmt w:val="bullet"/>
      <w:lvlText w:val=""/>
      <w:lvlJc w:val="left"/>
      <w:pPr>
        <w:ind w:left="420" w:hanging="420"/>
      </w:pPr>
      <w:rPr>
        <w:rFonts w:hint="default" w:ascii="Wingdings" w:hAnsi="Wingdings"/>
      </w:rPr>
    </w:lvl>
  </w:abstractNum>
  <w:abstractNum w:abstractNumId="6">
    <w:nsid w:val="555C6A5F"/>
    <w:multiLevelType w:val="multilevel"/>
    <w:tmpl w:val="555C6A5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0146DC0"/>
    <w:multiLevelType w:val="multilevel"/>
    <w:tmpl w:val="70146DC0"/>
    <w:lvl w:ilvl="0" w:tentative="0">
      <w:start w:val="1"/>
      <w:numFmt w:val="bullet"/>
      <w:pStyle w:val="112"/>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5A9226F"/>
    <w:multiLevelType w:val="multilevel"/>
    <w:tmpl w:val="75A9226F"/>
    <w:lvl w:ilvl="0" w:tentative="0">
      <w:start w:val="1"/>
      <w:numFmt w:val="bullet"/>
      <w:lvlText w:val="−"/>
      <w:lvlJc w:val="left"/>
      <w:pPr>
        <w:ind w:left="720" w:hanging="360"/>
      </w:pPr>
      <w:rPr>
        <w:rFonts w:hint="eastAsia" w:ascii="微软雅黑" w:hAnsi="微软雅黑" w:eastAsia="微软雅黑"/>
        <w:lang w:val="en-GB"/>
      </w:rPr>
    </w:lvl>
    <w:lvl w:ilvl="1" w:tentative="0">
      <w:start w:val="1"/>
      <w:numFmt w:val="bullet"/>
      <w:lvlText w:val="−"/>
      <w:lvlJc w:val="left"/>
      <w:pPr>
        <w:ind w:left="1440" w:hanging="360"/>
      </w:pPr>
      <w:rPr>
        <w:rFonts w:hint="eastAsia" w:ascii="微软雅黑" w:hAnsi="微软雅黑" w:eastAsia="微软雅黑"/>
        <w:lang w:val="en-GB"/>
      </w:rPr>
    </w:lvl>
    <w:lvl w:ilvl="2" w:tentative="0">
      <w:start w:val="1"/>
      <w:numFmt w:val="bullet"/>
      <w:lvlText w:val=""/>
      <w:lvlJc w:val="left"/>
      <w:pPr>
        <w:ind w:left="2160" w:hanging="180"/>
      </w:pPr>
      <w:rPr>
        <w:rFonts w:hint="default" w:ascii="Symbol" w:hAnsi="Symbol"/>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9"/>
  </w:num>
  <w:num w:numId="4">
    <w:abstractNumId w:val="2"/>
  </w:num>
  <w:num w:numId="5">
    <w:abstractNumId w:val="7"/>
  </w:num>
  <w:num w:numId="6">
    <w:abstractNumId w:val="4"/>
  </w:num>
  <w:num w:numId="7">
    <w:abstractNumId w:val="6"/>
  </w:num>
  <w:num w:numId="8">
    <w:abstractNumId w:val="8"/>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3CD8"/>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466"/>
    <w:rsid w:val="0005716B"/>
    <w:rsid w:val="0005757D"/>
    <w:rsid w:val="00057750"/>
    <w:rsid w:val="00057AC7"/>
    <w:rsid w:val="00057CF8"/>
    <w:rsid w:val="00057EA7"/>
    <w:rsid w:val="00060094"/>
    <w:rsid w:val="000600F5"/>
    <w:rsid w:val="00060A5D"/>
    <w:rsid w:val="00060B08"/>
    <w:rsid w:val="00060BDA"/>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7D8"/>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8EC"/>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0FD"/>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6CD9"/>
    <w:rsid w:val="000A777F"/>
    <w:rsid w:val="000B00E0"/>
    <w:rsid w:val="000B0383"/>
    <w:rsid w:val="000B0395"/>
    <w:rsid w:val="000B126D"/>
    <w:rsid w:val="000B12B2"/>
    <w:rsid w:val="000B1A32"/>
    <w:rsid w:val="000B2838"/>
    <w:rsid w:val="000B2E16"/>
    <w:rsid w:val="000B332B"/>
    <w:rsid w:val="000B3883"/>
    <w:rsid w:val="000B3928"/>
    <w:rsid w:val="000B3BA7"/>
    <w:rsid w:val="000B3E3F"/>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C3B"/>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6B9"/>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3E8"/>
    <w:rsid w:val="000F4528"/>
    <w:rsid w:val="000F4551"/>
    <w:rsid w:val="000F48F4"/>
    <w:rsid w:val="000F4AE3"/>
    <w:rsid w:val="000F4DA9"/>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646"/>
    <w:rsid w:val="001038DE"/>
    <w:rsid w:val="00103A8C"/>
    <w:rsid w:val="00103E17"/>
    <w:rsid w:val="00103ED0"/>
    <w:rsid w:val="0010402E"/>
    <w:rsid w:val="00104247"/>
    <w:rsid w:val="00104671"/>
    <w:rsid w:val="001046A2"/>
    <w:rsid w:val="00104768"/>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C2B"/>
    <w:rsid w:val="00112CCD"/>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5F09"/>
    <w:rsid w:val="001265F9"/>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A54"/>
    <w:rsid w:val="00193FB6"/>
    <w:rsid w:val="00194514"/>
    <w:rsid w:val="00194BE0"/>
    <w:rsid w:val="001952FB"/>
    <w:rsid w:val="00195611"/>
    <w:rsid w:val="00195A91"/>
    <w:rsid w:val="00195BB8"/>
    <w:rsid w:val="00195C2A"/>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2D0"/>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CB7"/>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7B0"/>
    <w:rsid w:val="001E58DF"/>
    <w:rsid w:val="001E5A85"/>
    <w:rsid w:val="001E5EE4"/>
    <w:rsid w:val="001E659B"/>
    <w:rsid w:val="001E68AA"/>
    <w:rsid w:val="001E6991"/>
    <w:rsid w:val="001E6AA8"/>
    <w:rsid w:val="001E6DE0"/>
    <w:rsid w:val="001E71CB"/>
    <w:rsid w:val="001E7272"/>
    <w:rsid w:val="001E7275"/>
    <w:rsid w:val="001E7430"/>
    <w:rsid w:val="001E7671"/>
    <w:rsid w:val="001E7746"/>
    <w:rsid w:val="001E7D65"/>
    <w:rsid w:val="001E7D7A"/>
    <w:rsid w:val="001F0092"/>
    <w:rsid w:val="001F07E5"/>
    <w:rsid w:val="001F099E"/>
    <w:rsid w:val="001F0F78"/>
    <w:rsid w:val="001F1E75"/>
    <w:rsid w:val="001F20D6"/>
    <w:rsid w:val="001F20FE"/>
    <w:rsid w:val="001F261D"/>
    <w:rsid w:val="001F28BB"/>
    <w:rsid w:val="001F28F7"/>
    <w:rsid w:val="001F2B0B"/>
    <w:rsid w:val="001F2C74"/>
    <w:rsid w:val="001F2EB2"/>
    <w:rsid w:val="001F3041"/>
    <w:rsid w:val="001F30B5"/>
    <w:rsid w:val="001F31EA"/>
    <w:rsid w:val="001F36AC"/>
    <w:rsid w:val="001F384F"/>
    <w:rsid w:val="001F3A35"/>
    <w:rsid w:val="001F3D5D"/>
    <w:rsid w:val="001F41E5"/>
    <w:rsid w:val="001F41F4"/>
    <w:rsid w:val="001F4344"/>
    <w:rsid w:val="001F4441"/>
    <w:rsid w:val="001F47D1"/>
    <w:rsid w:val="001F488B"/>
    <w:rsid w:val="001F4DA3"/>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39F"/>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655"/>
    <w:rsid w:val="00233B0D"/>
    <w:rsid w:val="00233F4A"/>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92A"/>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5CB"/>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4F10"/>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102E"/>
    <w:rsid w:val="002C10ED"/>
    <w:rsid w:val="002C1138"/>
    <w:rsid w:val="002C1311"/>
    <w:rsid w:val="002C15B4"/>
    <w:rsid w:val="002C1C6B"/>
    <w:rsid w:val="002C1E7D"/>
    <w:rsid w:val="002C2041"/>
    <w:rsid w:val="002C21DF"/>
    <w:rsid w:val="002C2349"/>
    <w:rsid w:val="002C2382"/>
    <w:rsid w:val="002C278B"/>
    <w:rsid w:val="002C29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6B5F"/>
    <w:rsid w:val="002C705C"/>
    <w:rsid w:val="002C70E1"/>
    <w:rsid w:val="002C72DE"/>
    <w:rsid w:val="002C760C"/>
    <w:rsid w:val="002C7ABF"/>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47D"/>
    <w:rsid w:val="0030181B"/>
    <w:rsid w:val="00301959"/>
    <w:rsid w:val="003019E1"/>
    <w:rsid w:val="00301A6A"/>
    <w:rsid w:val="00301D6D"/>
    <w:rsid w:val="00301EEF"/>
    <w:rsid w:val="003024D4"/>
    <w:rsid w:val="00302B54"/>
    <w:rsid w:val="00302BF5"/>
    <w:rsid w:val="00302CCC"/>
    <w:rsid w:val="00302D12"/>
    <w:rsid w:val="00302E8F"/>
    <w:rsid w:val="003030F0"/>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A6C"/>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D78"/>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8FF"/>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89D"/>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0DA"/>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97A63"/>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D99"/>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396"/>
    <w:rsid w:val="003C345B"/>
    <w:rsid w:val="003C3916"/>
    <w:rsid w:val="003C39CC"/>
    <w:rsid w:val="003C3E69"/>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2D1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3B3"/>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0C8E"/>
    <w:rsid w:val="0042159A"/>
    <w:rsid w:val="00421D06"/>
    <w:rsid w:val="00421EDD"/>
    <w:rsid w:val="00422685"/>
    <w:rsid w:val="004226D5"/>
    <w:rsid w:val="00422A1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4F2"/>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19D"/>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128"/>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EE0"/>
    <w:rsid w:val="0048016F"/>
    <w:rsid w:val="004802DD"/>
    <w:rsid w:val="00480371"/>
    <w:rsid w:val="00480560"/>
    <w:rsid w:val="00480A2C"/>
    <w:rsid w:val="0048128D"/>
    <w:rsid w:val="0048140B"/>
    <w:rsid w:val="00481609"/>
    <w:rsid w:val="00481AC0"/>
    <w:rsid w:val="00481B60"/>
    <w:rsid w:val="004821C6"/>
    <w:rsid w:val="00482303"/>
    <w:rsid w:val="00482957"/>
    <w:rsid w:val="00482CD9"/>
    <w:rsid w:val="004837D0"/>
    <w:rsid w:val="00483D35"/>
    <w:rsid w:val="004846B9"/>
    <w:rsid w:val="004846E6"/>
    <w:rsid w:val="00484AEE"/>
    <w:rsid w:val="00484B86"/>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24E"/>
    <w:rsid w:val="004B53F7"/>
    <w:rsid w:val="004B5CB2"/>
    <w:rsid w:val="004B5E03"/>
    <w:rsid w:val="004B5F60"/>
    <w:rsid w:val="004B5FA6"/>
    <w:rsid w:val="004B5FF5"/>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4FE7"/>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6FF"/>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B2C"/>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0"/>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1C8C"/>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817"/>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2988"/>
    <w:rsid w:val="00583545"/>
    <w:rsid w:val="005835F9"/>
    <w:rsid w:val="005838D4"/>
    <w:rsid w:val="00583DFD"/>
    <w:rsid w:val="00583F89"/>
    <w:rsid w:val="0058403F"/>
    <w:rsid w:val="00584211"/>
    <w:rsid w:val="005845D3"/>
    <w:rsid w:val="00584BF1"/>
    <w:rsid w:val="00585307"/>
    <w:rsid w:val="005858B1"/>
    <w:rsid w:val="00585C24"/>
    <w:rsid w:val="0058635F"/>
    <w:rsid w:val="0058637E"/>
    <w:rsid w:val="0058678B"/>
    <w:rsid w:val="00586ADE"/>
    <w:rsid w:val="00586F6F"/>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0B6B"/>
    <w:rsid w:val="005C11A9"/>
    <w:rsid w:val="005C1D65"/>
    <w:rsid w:val="005C2237"/>
    <w:rsid w:val="005C3030"/>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0EE"/>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6F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575"/>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EEF"/>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0D65"/>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370"/>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4F72"/>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CA6"/>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2DA7"/>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0C9"/>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E32"/>
    <w:rsid w:val="006D30CE"/>
    <w:rsid w:val="006D3467"/>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A41"/>
    <w:rsid w:val="006F22ED"/>
    <w:rsid w:val="006F2443"/>
    <w:rsid w:val="006F2538"/>
    <w:rsid w:val="006F2607"/>
    <w:rsid w:val="006F2767"/>
    <w:rsid w:val="006F2886"/>
    <w:rsid w:val="006F321A"/>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272"/>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0FD"/>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AAC"/>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25A"/>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6E6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863"/>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24"/>
    <w:rsid w:val="00783F77"/>
    <w:rsid w:val="00784138"/>
    <w:rsid w:val="0078469A"/>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28E"/>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4B0D"/>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C70"/>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0E8"/>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B94"/>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89"/>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025"/>
    <w:rsid w:val="007F61CA"/>
    <w:rsid w:val="007F655E"/>
    <w:rsid w:val="007F6E18"/>
    <w:rsid w:val="007F746B"/>
    <w:rsid w:val="007F74B3"/>
    <w:rsid w:val="007F7A4A"/>
    <w:rsid w:val="007F7E46"/>
    <w:rsid w:val="0080004E"/>
    <w:rsid w:val="008002B7"/>
    <w:rsid w:val="00800796"/>
    <w:rsid w:val="00800BAE"/>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8BA"/>
    <w:rsid w:val="00825BD1"/>
    <w:rsid w:val="00826136"/>
    <w:rsid w:val="008263AD"/>
    <w:rsid w:val="0082731D"/>
    <w:rsid w:val="008278B8"/>
    <w:rsid w:val="00827A34"/>
    <w:rsid w:val="00827AD2"/>
    <w:rsid w:val="00827C49"/>
    <w:rsid w:val="00827F79"/>
    <w:rsid w:val="00827FC4"/>
    <w:rsid w:val="00830606"/>
    <w:rsid w:val="008306C4"/>
    <w:rsid w:val="0083092C"/>
    <w:rsid w:val="00830958"/>
    <w:rsid w:val="00830DC9"/>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7B5"/>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94D"/>
    <w:rsid w:val="00877AD9"/>
    <w:rsid w:val="00877D90"/>
    <w:rsid w:val="00877F00"/>
    <w:rsid w:val="0088030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1A3"/>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5A4"/>
    <w:rsid w:val="008B5653"/>
    <w:rsid w:val="008B5852"/>
    <w:rsid w:val="008B5B6D"/>
    <w:rsid w:val="008B6788"/>
    <w:rsid w:val="008B683C"/>
    <w:rsid w:val="008B68AA"/>
    <w:rsid w:val="008B6A19"/>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8A1"/>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F28"/>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546"/>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5F"/>
    <w:rsid w:val="009136DD"/>
    <w:rsid w:val="009137AC"/>
    <w:rsid w:val="00913C5F"/>
    <w:rsid w:val="00913E83"/>
    <w:rsid w:val="009141E4"/>
    <w:rsid w:val="00914689"/>
    <w:rsid w:val="0091477F"/>
    <w:rsid w:val="00914A3B"/>
    <w:rsid w:val="00914AAA"/>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FC9"/>
    <w:rsid w:val="00925031"/>
    <w:rsid w:val="00925219"/>
    <w:rsid w:val="009256EF"/>
    <w:rsid w:val="00925A52"/>
    <w:rsid w:val="00925C23"/>
    <w:rsid w:val="0092603E"/>
    <w:rsid w:val="00926115"/>
    <w:rsid w:val="0092633F"/>
    <w:rsid w:val="009266EE"/>
    <w:rsid w:val="0092678F"/>
    <w:rsid w:val="009267EE"/>
    <w:rsid w:val="0092681A"/>
    <w:rsid w:val="00926A4E"/>
    <w:rsid w:val="00926F52"/>
    <w:rsid w:val="00927193"/>
    <w:rsid w:val="009300A9"/>
    <w:rsid w:val="009300D4"/>
    <w:rsid w:val="0093022B"/>
    <w:rsid w:val="00930873"/>
    <w:rsid w:val="00930B68"/>
    <w:rsid w:val="00930B75"/>
    <w:rsid w:val="00930BC3"/>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8F1"/>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1BDB"/>
    <w:rsid w:val="00941F29"/>
    <w:rsid w:val="009421AA"/>
    <w:rsid w:val="00942C74"/>
    <w:rsid w:val="00943011"/>
    <w:rsid w:val="0094326D"/>
    <w:rsid w:val="009432A0"/>
    <w:rsid w:val="00943693"/>
    <w:rsid w:val="0094384B"/>
    <w:rsid w:val="00943997"/>
    <w:rsid w:val="00944488"/>
    <w:rsid w:val="00944C66"/>
    <w:rsid w:val="00944FA6"/>
    <w:rsid w:val="0094537A"/>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0F4"/>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4DE"/>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2A"/>
    <w:rsid w:val="009C32C6"/>
    <w:rsid w:val="009C38F4"/>
    <w:rsid w:val="009C3C5B"/>
    <w:rsid w:val="009C4047"/>
    <w:rsid w:val="009C44C7"/>
    <w:rsid w:val="009C4901"/>
    <w:rsid w:val="009C4A9F"/>
    <w:rsid w:val="009C4C25"/>
    <w:rsid w:val="009C4E33"/>
    <w:rsid w:val="009C521B"/>
    <w:rsid w:val="009C5872"/>
    <w:rsid w:val="009C5DF0"/>
    <w:rsid w:val="009C5F31"/>
    <w:rsid w:val="009C646D"/>
    <w:rsid w:val="009C66C8"/>
    <w:rsid w:val="009C672B"/>
    <w:rsid w:val="009C675D"/>
    <w:rsid w:val="009C7737"/>
    <w:rsid w:val="009C7893"/>
    <w:rsid w:val="009C7E11"/>
    <w:rsid w:val="009D01CD"/>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A4A"/>
    <w:rsid w:val="009E4B79"/>
    <w:rsid w:val="009E4DDF"/>
    <w:rsid w:val="009E4E23"/>
    <w:rsid w:val="009E4FC2"/>
    <w:rsid w:val="009E53BF"/>
    <w:rsid w:val="009E53F4"/>
    <w:rsid w:val="009E5724"/>
    <w:rsid w:val="009E5A9D"/>
    <w:rsid w:val="009E5C46"/>
    <w:rsid w:val="009E6937"/>
    <w:rsid w:val="009E6FAD"/>
    <w:rsid w:val="009E70CE"/>
    <w:rsid w:val="009E7597"/>
    <w:rsid w:val="009E7668"/>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172"/>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8A8"/>
    <w:rsid w:val="00A05983"/>
    <w:rsid w:val="00A059DB"/>
    <w:rsid w:val="00A05BD0"/>
    <w:rsid w:val="00A05EC1"/>
    <w:rsid w:val="00A05F51"/>
    <w:rsid w:val="00A060E0"/>
    <w:rsid w:val="00A06442"/>
    <w:rsid w:val="00A06841"/>
    <w:rsid w:val="00A06880"/>
    <w:rsid w:val="00A06AFA"/>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0DC1"/>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4E8E"/>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1EA"/>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965"/>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06E"/>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608"/>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87E"/>
    <w:rsid w:val="00AE5A65"/>
    <w:rsid w:val="00AE65C5"/>
    <w:rsid w:val="00AE6E8A"/>
    <w:rsid w:val="00AE6F55"/>
    <w:rsid w:val="00AE6F7A"/>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7FC"/>
    <w:rsid w:val="00B13A88"/>
    <w:rsid w:val="00B13B64"/>
    <w:rsid w:val="00B13F9D"/>
    <w:rsid w:val="00B1438A"/>
    <w:rsid w:val="00B144EC"/>
    <w:rsid w:val="00B14A67"/>
    <w:rsid w:val="00B14BE6"/>
    <w:rsid w:val="00B14D41"/>
    <w:rsid w:val="00B154D7"/>
    <w:rsid w:val="00B1608F"/>
    <w:rsid w:val="00B160B8"/>
    <w:rsid w:val="00B16250"/>
    <w:rsid w:val="00B164C6"/>
    <w:rsid w:val="00B168CF"/>
    <w:rsid w:val="00B16B91"/>
    <w:rsid w:val="00B17141"/>
    <w:rsid w:val="00B172AB"/>
    <w:rsid w:val="00B176CD"/>
    <w:rsid w:val="00B17810"/>
    <w:rsid w:val="00B17CAF"/>
    <w:rsid w:val="00B20132"/>
    <w:rsid w:val="00B20A0A"/>
    <w:rsid w:val="00B20B7A"/>
    <w:rsid w:val="00B20D5C"/>
    <w:rsid w:val="00B20FDF"/>
    <w:rsid w:val="00B214F8"/>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4EA"/>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E4A"/>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747"/>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1BA"/>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64F"/>
    <w:rsid w:val="00C11D3C"/>
    <w:rsid w:val="00C11E14"/>
    <w:rsid w:val="00C11FB8"/>
    <w:rsid w:val="00C12210"/>
    <w:rsid w:val="00C123A2"/>
    <w:rsid w:val="00C12DC1"/>
    <w:rsid w:val="00C1302D"/>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125"/>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3EE7"/>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5C93"/>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2A0"/>
    <w:rsid w:val="00CA2430"/>
    <w:rsid w:val="00CA309B"/>
    <w:rsid w:val="00CA3358"/>
    <w:rsid w:val="00CA35A0"/>
    <w:rsid w:val="00CA37EF"/>
    <w:rsid w:val="00CA3A1C"/>
    <w:rsid w:val="00CA4003"/>
    <w:rsid w:val="00CA434D"/>
    <w:rsid w:val="00CA4676"/>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B"/>
    <w:rsid w:val="00CC05FF"/>
    <w:rsid w:val="00CC0772"/>
    <w:rsid w:val="00CC09A7"/>
    <w:rsid w:val="00CC09B0"/>
    <w:rsid w:val="00CC0A2B"/>
    <w:rsid w:val="00CC0C96"/>
    <w:rsid w:val="00CC0D12"/>
    <w:rsid w:val="00CC0FDA"/>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12C"/>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63B"/>
    <w:rsid w:val="00D10A06"/>
    <w:rsid w:val="00D11206"/>
    <w:rsid w:val="00D115E0"/>
    <w:rsid w:val="00D117E3"/>
    <w:rsid w:val="00D11D7F"/>
    <w:rsid w:val="00D11F92"/>
    <w:rsid w:val="00D121A3"/>
    <w:rsid w:val="00D12931"/>
    <w:rsid w:val="00D12CD2"/>
    <w:rsid w:val="00D12FFA"/>
    <w:rsid w:val="00D13744"/>
    <w:rsid w:val="00D139F0"/>
    <w:rsid w:val="00D13C5E"/>
    <w:rsid w:val="00D14058"/>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74"/>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1ECE"/>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E1C"/>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5E39"/>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65E"/>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B29"/>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280"/>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388"/>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50C"/>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5E"/>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09"/>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2F4"/>
    <w:rsid w:val="00DF1866"/>
    <w:rsid w:val="00DF1E16"/>
    <w:rsid w:val="00DF205F"/>
    <w:rsid w:val="00DF2412"/>
    <w:rsid w:val="00DF2432"/>
    <w:rsid w:val="00DF2509"/>
    <w:rsid w:val="00DF2625"/>
    <w:rsid w:val="00DF298B"/>
    <w:rsid w:val="00DF2999"/>
    <w:rsid w:val="00DF2F86"/>
    <w:rsid w:val="00DF31A8"/>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AB4"/>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7"/>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6DDD"/>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0CB"/>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166"/>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6E5"/>
    <w:rsid w:val="00E52F14"/>
    <w:rsid w:val="00E532A9"/>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075"/>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10F"/>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A7CC5"/>
    <w:rsid w:val="00EB0BD6"/>
    <w:rsid w:val="00EB0C09"/>
    <w:rsid w:val="00EB147A"/>
    <w:rsid w:val="00EB26F6"/>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5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60E"/>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5167"/>
    <w:rsid w:val="00F053B1"/>
    <w:rsid w:val="00F05808"/>
    <w:rsid w:val="00F05959"/>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288"/>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BED"/>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283"/>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5EA"/>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AEC"/>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1D15"/>
    <w:rsid w:val="00FB278F"/>
    <w:rsid w:val="00FB2A7A"/>
    <w:rsid w:val="00FB2AA9"/>
    <w:rsid w:val="00FB2C2A"/>
    <w:rsid w:val="00FB30DC"/>
    <w:rsid w:val="00FB3444"/>
    <w:rsid w:val="00FB382C"/>
    <w:rsid w:val="00FB38A4"/>
    <w:rsid w:val="00FB38E5"/>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CE7"/>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207"/>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40BD"/>
    <w:rsid w:val="00FE435D"/>
    <w:rsid w:val="00FE4743"/>
    <w:rsid w:val="00FE54CD"/>
    <w:rsid w:val="00FE5906"/>
    <w:rsid w:val="00FE590E"/>
    <w:rsid w:val="00FE5B0F"/>
    <w:rsid w:val="00FE5B26"/>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6B33A0"/>
    <w:rsid w:val="05702DF2"/>
    <w:rsid w:val="05733EFD"/>
    <w:rsid w:val="058D2653"/>
    <w:rsid w:val="05930449"/>
    <w:rsid w:val="05A11E98"/>
    <w:rsid w:val="05EA3121"/>
    <w:rsid w:val="05EB37CA"/>
    <w:rsid w:val="05EF39F0"/>
    <w:rsid w:val="06093003"/>
    <w:rsid w:val="060D79A1"/>
    <w:rsid w:val="060E00E0"/>
    <w:rsid w:val="06257099"/>
    <w:rsid w:val="067751BD"/>
    <w:rsid w:val="06CF7159"/>
    <w:rsid w:val="06D32D7E"/>
    <w:rsid w:val="06E21138"/>
    <w:rsid w:val="06E64C63"/>
    <w:rsid w:val="06F24EF2"/>
    <w:rsid w:val="07470651"/>
    <w:rsid w:val="075815C4"/>
    <w:rsid w:val="07A46BE4"/>
    <w:rsid w:val="07AE7932"/>
    <w:rsid w:val="07B814E5"/>
    <w:rsid w:val="07D013A8"/>
    <w:rsid w:val="07D648D8"/>
    <w:rsid w:val="07FD44E9"/>
    <w:rsid w:val="0805407D"/>
    <w:rsid w:val="08127126"/>
    <w:rsid w:val="08132E8B"/>
    <w:rsid w:val="081D706E"/>
    <w:rsid w:val="085D519A"/>
    <w:rsid w:val="086378F2"/>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C195365"/>
    <w:rsid w:val="0C1D70C9"/>
    <w:rsid w:val="0C6F4E58"/>
    <w:rsid w:val="0CFB1DB9"/>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5C3AB9"/>
    <w:rsid w:val="136B08B3"/>
    <w:rsid w:val="137A40BD"/>
    <w:rsid w:val="13910B1E"/>
    <w:rsid w:val="13B563DA"/>
    <w:rsid w:val="13BD31AB"/>
    <w:rsid w:val="13CD27B6"/>
    <w:rsid w:val="13D82248"/>
    <w:rsid w:val="13E532CA"/>
    <w:rsid w:val="13ED0B0B"/>
    <w:rsid w:val="13ED7D7F"/>
    <w:rsid w:val="13F96221"/>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077070"/>
    <w:rsid w:val="18117661"/>
    <w:rsid w:val="18523ADE"/>
    <w:rsid w:val="18660CD4"/>
    <w:rsid w:val="1866694B"/>
    <w:rsid w:val="186C1ACE"/>
    <w:rsid w:val="188C6C7D"/>
    <w:rsid w:val="18960812"/>
    <w:rsid w:val="189C7EF6"/>
    <w:rsid w:val="18B04B4D"/>
    <w:rsid w:val="18E87E12"/>
    <w:rsid w:val="18F5052C"/>
    <w:rsid w:val="191D14D9"/>
    <w:rsid w:val="19693EEF"/>
    <w:rsid w:val="196B5F41"/>
    <w:rsid w:val="19D1732F"/>
    <w:rsid w:val="19F92180"/>
    <w:rsid w:val="1A001213"/>
    <w:rsid w:val="1A200A74"/>
    <w:rsid w:val="1A2F2398"/>
    <w:rsid w:val="1A3055B8"/>
    <w:rsid w:val="1A5655AF"/>
    <w:rsid w:val="1A6B5CD7"/>
    <w:rsid w:val="1A9B675D"/>
    <w:rsid w:val="1ADE3E70"/>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8C2BA2"/>
    <w:rsid w:val="1D905228"/>
    <w:rsid w:val="1DCC2895"/>
    <w:rsid w:val="1DF24DA6"/>
    <w:rsid w:val="1DF43659"/>
    <w:rsid w:val="1DFC21EE"/>
    <w:rsid w:val="1E4473F8"/>
    <w:rsid w:val="1E490459"/>
    <w:rsid w:val="1E50751B"/>
    <w:rsid w:val="1E545B82"/>
    <w:rsid w:val="1E6D1C74"/>
    <w:rsid w:val="1E736E4E"/>
    <w:rsid w:val="1E7E5EB1"/>
    <w:rsid w:val="1E9B048D"/>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8B7C27"/>
    <w:rsid w:val="26A10A64"/>
    <w:rsid w:val="26A24282"/>
    <w:rsid w:val="26BB6790"/>
    <w:rsid w:val="26C84C3F"/>
    <w:rsid w:val="26CA39FA"/>
    <w:rsid w:val="26D85E33"/>
    <w:rsid w:val="26DB2072"/>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C3156"/>
    <w:rsid w:val="2C295EB9"/>
    <w:rsid w:val="2C35729B"/>
    <w:rsid w:val="2C4628DA"/>
    <w:rsid w:val="2C575DDE"/>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F0672B1"/>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96C6B"/>
    <w:rsid w:val="30C01516"/>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24770"/>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4B4F18"/>
    <w:rsid w:val="367B06EC"/>
    <w:rsid w:val="36AF0D32"/>
    <w:rsid w:val="36C5766F"/>
    <w:rsid w:val="36ED465C"/>
    <w:rsid w:val="370058B6"/>
    <w:rsid w:val="37066B46"/>
    <w:rsid w:val="37556EFB"/>
    <w:rsid w:val="37634C0D"/>
    <w:rsid w:val="37635AA2"/>
    <w:rsid w:val="376D038A"/>
    <w:rsid w:val="378D4EC4"/>
    <w:rsid w:val="37B01FC8"/>
    <w:rsid w:val="37F7211A"/>
    <w:rsid w:val="37FD2BB1"/>
    <w:rsid w:val="38115BCA"/>
    <w:rsid w:val="381D63E4"/>
    <w:rsid w:val="38454C9B"/>
    <w:rsid w:val="388116C0"/>
    <w:rsid w:val="388C714F"/>
    <w:rsid w:val="38946C1E"/>
    <w:rsid w:val="38966DB9"/>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7849C8"/>
    <w:rsid w:val="3DA54021"/>
    <w:rsid w:val="3DC60482"/>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0F83F72"/>
    <w:rsid w:val="411713CA"/>
    <w:rsid w:val="411A6663"/>
    <w:rsid w:val="412D5086"/>
    <w:rsid w:val="416E59E3"/>
    <w:rsid w:val="417C4EC1"/>
    <w:rsid w:val="41A664B7"/>
    <w:rsid w:val="41DF5CBF"/>
    <w:rsid w:val="41EB174A"/>
    <w:rsid w:val="42226713"/>
    <w:rsid w:val="422B2BA1"/>
    <w:rsid w:val="4231785A"/>
    <w:rsid w:val="42584818"/>
    <w:rsid w:val="427E48C1"/>
    <w:rsid w:val="42926048"/>
    <w:rsid w:val="429B6E22"/>
    <w:rsid w:val="42C845D8"/>
    <w:rsid w:val="43262E27"/>
    <w:rsid w:val="434841F7"/>
    <w:rsid w:val="434D6B99"/>
    <w:rsid w:val="437F792B"/>
    <w:rsid w:val="43BE214E"/>
    <w:rsid w:val="43DB3207"/>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274B4"/>
    <w:rsid w:val="48811612"/>
    <w:rsid w:val="488818E0"/>
    <w:rsid w:val="48E06989"/>
    <w:rsid w:val="48E92C88"/>
    <w:rsid w:val="48EB1D85"/>
    <w:rsid w:val="48EB6484"/>
    <w:rsid w:val="494C141C"/>
    <w:rsid w:val="4954359E"/>
    <w:rsid w:val="49821D8D"/>
    <w:rsid w:val="4987544D"/>
    <w:rsid w:val="49AE3D92"/>
    <w:rsid w:val="49BF2772"/>
    <w:rsid w:val="49C55CAD"/>
    <w:rsid w:val="49CA225D"/>
    <w:rsid w:val="4A1203E3"/>
    <w:rsid w:val="4A362F1F"/>
    <w:rsid w:val="4A3C31F7"/>
    <w:rsid w:val="4A863FBD"/>
    <w:rsid w:val="4AA927DF"/>
    <w:rsid w:val="4AB450E7"/>
    <w:rsid w:val="4ABD2CBE"/>
    <w:rsid w:val="4ACA49FA"/>
    <w:rsid w:val="4ACC15C6"/>
    <w:rsid w:val="4AE8469B"/>
    <w:rsid w:val="4AED30D2"/>
    <w:rsid w:val="4AF05435"/>
    <w:rsid w:val="4AFE1C1B"/>
    <w:rsid w:val="4B503DE9"/>
    <w:rsid w:val="4B592E57"/>
    <w:rsid w:val="4B731311"/>
    <w:rsid w:val="4B9A2375"/>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993267"/>
    <w:rsid w:val="4DA1355F"/>
    <w:rsid w:val="4DA537BB"/>
    <w:rsid w:val="4DBB336E"/>
    <w:rsid w:val="4DF67531"/>
    <w:rsid w:val="4DF9062B"/>
    <w:rsid w:val="4E014EF8"/>
    <w:rsid w:val="4E066E93"/>
    <w:rsid w:val="4E1D7E77"/>
    <w:rsid w:val="4E236A05"/>
    <w:rsid w:val="4E51451A"/>
    <w:rsid w:val="4ED60114"/>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2E6AAF"/>
    <w:rsid w:val="54871B54"/>
    <w:rsid w:val="549F3EDE"/>
    <w:rsid w:val="54AA3CD9"/>
    <w:rsid w:val="54B76615"/>
    <w:rsid w:val="54EA3219"/>
    <w:rsid w:val="550118A5"/>
    <w:rsid w:val="557A16A0"/>
    <w:rsid w:val="559A22C4"/>
    <w:rsid w:val="559C2F3F"/>
    <w:rsid w:val="559F228F"/>
    <w:rsid w:val="55B54251"/>
    <w:rsid w:val="55D00DC0"/>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CD2536"/>
    <w:rsid w:val="59D05539"/>
    <w:rsid w:val="59E12D2E"/>
    <w:rsid w:val="59E56E97"/>
    <w:rsid w:val="59EE0B0E"/>
    <w:rsid w:val="5A03208B"/>
    <w:rsid w:val="5A1B27B8"/>
    <w:rsid w:val="5A41505E"/>
    <w:rsid w:val="5A60385B"/>
    <w:rsid w:val="5AC608F3"/>
    <w:rsid w:val="5ACA2411"/>
    <w:rsid w:val="5AE31485"/>
    <w:rsid w:val="5AF626D8"/>
    <w:rsid w:val="5AF62900"/>
    <w:rsid w:val="5AFC40F3"/>
    <w:rsid w:val="5B053218"/>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80CB5"/>
    <w:rsid w:val="5E447267"/>
    <w:rsid w:val="5E4A572D"/>
    <w:rsid w:val="5E5667A6"/>
    <w:rsid w:val="5E676802"/>
    <w:rsid w:val="5E6C7C78"/>
    <w:rsid w:val="5E72699B"/>
    <w:rsid w:val="5E815CED"/>
    <w:rsid w:val="5E887A26"/>
    <w:rsid w:val="5EA35CFD"/>
    <w:rsid w:val="5EB75E1B"/>
    <w:rsid w:val="5EC56393"/>
    <w:rsid w:val="5EF078DD"/>
    <w:rsid w:val="5EFE34A1"/>
    <w:rsid w:val="5F173FD8"/>
    <w:rsid w:val="5F3262F4"/>
    <w:rsid w:val="5F5C27E5"/>
    <w:rsid w:val="5F6E2815"/>
    <w:rsid w:val="5F7C06D8"/>
    <w:rsid w:val="5FD9462B"/>
    <w:rsid w:val="5FFB6305"/>
    <w:rsid w:val="60011320"/>
    <w:rsid w:val="6057025C"/>
    <w:rsid w:val="606F133D"/>
    <w:rsid w:val="60916901"/>
    <w:rsid w:val="60993336"/>
    <w:rsid w:val="609949E1"/>
    <w:rsid w:val="60A27DAC"/>
    <w:rsid w:val="60B91733"/>
    <w:rsid w:val="610B115D"/>
    <w:rsid w:val="612650A2"/>
    <w:rsid w:val="61275225"/>
    <w:rsid w:val="614041D7"/>
    <w:rsid w:val="616C655B"/>
    <w:rsid w:val="616E381D"/>
    <w:rsid w:val="61A21ED5"/>
    <w:rsid w:val="61BA5EFD"/>
    <w:rsid w:val="61BD289E"/>
    <w:rsid w:val="61C7660C"/>
    <w:rsid w:val="61D81BE2"/>
    <w:rsid w:val="61E93AD6"/>
    <w:rsid w:val="620100B1"/>
    <w:rsid w:val="62190F45"/>
    <w:rsid w:val="62193B80"/>
    <w:rsid w:val="621B4181"/>
    <w:rsid w:val="62353B47"/>
    <w:rsid w:val="624076D6"/>
    <w:rsid w:val="62757ACF"/>
    <w:rsid w:val="628C53F9"/>
    <w:rsid w:val="62937829"/>
    <w:rsid w:val="62A20B07"/>
    <w:rsid w:val="62A414E0"/>
    <w:rsid w:val="62CC77CB"/>
    <w:rsid w:val="62F3784F"/>
    <w:rsid w:val="62FF3FB5"/>
    <w:rsid w:val="63021DE2"/>
    <w:rsid w:val="63112339"/>
    <w:rsid w:val="632C2662"/>
    <w:rsid w:val="633A0F04"/>
    <w:rsid w:val="63654FE0"/>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B5FE1"/>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9FD45AC"/>
    <w:rsid w:val="6A2826A1"/>
    <w:rsid w:val="6A551347"/>
    <w:rsid w:val="6A5660EE"/>
    <w:rsid w:val="6A5D1911"/>
    <w:rsid w:val="6A9F3407"/>
    <w:rsid w:val="6AA45AEE"/>
    <w:rsid w:val="6AAA05A9"/>
    <w:rsid w:val="6AE60B4C"/>
    <w:rsid w:val="6B0E0011"/>
    <w:rsid w:val="6B3529D0"/>
    <w:rsid w:val="6B3C6A10"/>
    <w:rsid w:val="6B3D3D48"/>
    <w:rsid w:val="6B4A7668"/>
    <w:rsid w:val="6B5B3158"/>
    <w:rsid w:val="6B726A7C"/>
    <w:rsid w:val="6B8902B7"/>
    <w:rsid w:val="6BBA5C26"/>
    <w:rsid w:val="6BC644EC"/>
    <w:rsid w:val="6BE963BE"/>
    <w:rsid w:val="6C0F365E"/>
    <w:rsid w:val="6C2E2CA9"/>
    <w:rsid w:val="6C3E3641"/>
    <w:rsid w:val="6C740601"/>
    <w:rsid w:val="6C8A5474"/>
    <w:rsid w:val="6CD85C69"/>
    <w:rsid w:val="6CE456A5"/>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4872A8"/>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931EAF"/>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12B4B"/>
    <w:rsid w:val="77A82770"/>
    <w:rsid w:val="77BD7E72"/>
    <w:rsid w:val="77ED0386"/>
    <w:rsid w:val="77F72469"/>
    <w:rsid w:val="77F854D4"/>
    <w:rsid w:val="78366B8C"/>
    <w:rsid w:val="783B287A"/>
    <w:rsid w:val="78482C69"/>
    <w:rsid w:val="785E7689"/>
    <w:rsid w:val="78B43B82"/>
    <w:rsid w:val="78BB76EA"/>
    <w:rsid w:val="78F65C61"/>
    <w:rsid w:val="78FB1BD1"/>
    <w:rsid w:val="79213328"/>
    <w:rsid w:val="7964511F"/>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215D8A"/>
    <w:rsid w:val="7F301B1E"/>
    <w:rsid w:val="7F375D0A"/>
    <w:rsid w:val="7F500CBA"/>
    <w:rsid w:val="7F587DE1"/>
    <w:rsid w:val="7F61016D"/>
    <w:rsid w:val="7F6D28E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8"/>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页眉 Char"/>
    <w:link w:val="18"/>
    <w:qFormat/>
    <w:uiPriority w:val="0"/>
    <w:rPr>
      <w:rFonts w:ascii="Arial" w:hAnsi="Arial" w:eastAsia="MS Mincho"/>
      <w:b/>
      <w:szCs w:val="24"/>
      <w:lang w:eastAsia="en-US"/>
    </w:rPr>
  </w:style>
  <w:style w:type="character" w:customStyle="1" w:styleId="35">
    <w:name w:val="批注主题 Char"/>
    <w:link w:val="22"/>
    <w:semiHidden/>
    <w:qFormat/>
    <w:uiPriority w:val="99"/>
    <w:rPr>
      <w:b/>
      <w:bCs/>
    </w:rPr>
  </w:style>
  <w:style w:type="character" w:customStyle="1" w:styleId="36">
    <w:name w:val="脚注文本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题注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Cs w:val="20"/>
      <w:lang w:val="en-GB" w:eastAsia="ko-KR"/>
    </w:rPr>
  </w:style>
  <w:style w:type="character" w:customStyle="1" w:styleId="48">
    <w:name w:val="批注文字 Char"/>
    <w:basedOn w:val="26"/>
    <w:link w:val="14"/>
    <w:qFormat/>
    <w:uiPriority w:val="0"/>
  </w:style>
  <w:style w:type="character" w:customStyle="1" w:styleId="49">
    <w:name w:val="正文文本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批注框文本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Agreement"/>
    <w:basedOn w:val="1"/>
    <w:next w:val="1"/>
    <w:qFormat/>
    <w:uiPriority w:val="99"/>
    <w:pPr>
      <w:numPr>
        <w:ilvl w:val="0"/>
        <w:numId w:val="5"/>
      </w:numPr>
      <w:tabs>
        <w:tab w:val="left" w:pos="1620"/>
      </w:tabs>
      <w:spacing w:before="60" w:after="0" w:line="240" w:lineRule="auto"/>
      <w:ind w:left="1620"/>
    </w:pPr>
    <w:rPr>
      <w:rFonts w:ascii="Arial" w:hAnsi="Arial" w:eastAsia="MS Mincho"/>
      <w:b/>
      <w:szCs w:val="24"/>
      <w:lang w:val="en-GB" w:eastAsia="en-GB"/>
    </w:rPr>
  </w:style>
  <w:style w:type="paragraph" w:customStyle="1" w:styleId="113">
    <w:name w:val="Table_head"/>
    <w:basedOn w:val="1"/>
    <w:next w:val="114"/>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宋体"/>
      <w:b/>
      <w:sz w:val="22"/>
      <w:szCs w:val="20"/>
      <w:lang w:val="en-GB" w:eastAsia="en-US"/>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szCs w:val="20"/>
      <w:lang w:val="en-GB" w:eastAsia="en-US"/>
    </w:rPr>
  </w:style>
  <w:style w:type="paragraph" w:customStyle="1" w:styleId="115">
    <w:name w:val="Revision"/>
    <w:hidden/>
    <w:semiHidden/>
    <w:qFormat/>
    <w:uiPriority w:val="99"/>
    <w:rPr>
      <w:rFonts w:ascii="Times New Roman" w:hAnsi="Times New Roman" w:eastAsia="t" w:cs="Times New Roman"/>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6D72E-2881-400D-9B0F-B2542732F30D}">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1805</Words>
  <Characters>10292</Characters>
  <Lines>85</Lines>
  <Paragraphs>24</Paragraphs>
  <TotalTime>32</TotalTime>
  <ScaleCrop>false</ScaleCrop>
  <LinksUpToDate>false</LinksUpToDate>
  <CharactersWithSpaces>12073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2021-11-29T10:52:00Z</dcterms:created>
  <dc:creator>ZTE</dc:creator>
  <cp:lastModifiedBy>Gen CAO</cp:lastModifiedBy>
  <dcterms:modified xsi:type="dcterms:W3CDTF">2021-11-29T15:39:20Z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7DC97F3D98B041E6985CBAE05E5BC85F</vt:lpwstr>
  </property>
</Properties>
</file>